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316D" w:rsidRPr="00AB4EA2" w:rsidRDefault="00A5457F" w:rsidP="00AB4EA2">
      <w:pPr>
        <w:spacing w:line="0" w:lineRule="atLeast"/>
        <w:jc w:val="both"/>
        <w:rPr>
          <w:rFonts w:ascii="微軟正黑體" w:eastAsia="微軟正黑體" w:hAnsi="微軟正黑體" w:cs="Times New Roman"/>
          <w:b/>
          <w:sz w:val="20"/>
          <w:szCs w:val="20"/>
        </w:rPr>
      </w:pPr>
      <w:sdt>
        <w:sdtPr>
          <w:tag w:val="goog_rdk_0"/>
          <w:id w:val="-1252578054"/>
        </w:sdtPr>
        <w:sdtEndPr>
          <w:rPr>
            <w:rFonts w:ascii="微軟正黑體" w:eastAsia="微軟正黑體" w:hAnsi="微軟正黑體"/>
            <w:sz w:val="20"/>
            <w:szCs w:val="20"/>
          </w:rPr>
        </w:sdtEndPr>
        <w:sdtContent>
          <w:r w:rsidR="00BA7900" w:rsidRPr="00AB4EA2">
            <w:rPr>
              <w:rFonts w:ascii="微軟正黑體" w:eastAsia="微軟正黑體" w:hAnsi="微軟正黑體" w:cs="Gungsuh"/>
              <w:b/>
              <w:sz w:val="20"/>
              <w:szCs w:val="20"/>
            </w:rPr>
            <w:t>臺北市立美術館新聞稿</w:t>
          </w:r>
        </w:sdtContent>
      </w:sdt>
    </w:p>
    <w:tbl>
      <w:tblPr>
        <w:tblStyle w:val="afb"/>
        <w:tblW w:w="9341" w:type="dxa"/>
        <w:tblInd w:w="-12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918"/>
        <w:gridCol w:w="5423"/>
      </w:tblGrid>
      <w:tr w:rsidR="00D7316D" w:rsidRPr="00AB4EA2">
        <w:trPr>
          <w:trHeight w:val="424"/>
        </w:trPr>
        <w:tc>
          <w:tcPr>
            <w:tcW w:w="3918" w:type="dxa"/>
            <w:vAlign w:val="center"/>
          </w:tcPr>
          <w:p w:rsidR="00D7316D" w:rsidRPr="00AB4EA2" w:rsidRDefault="00A5457F" w:rsidP="00AB4EA2">
            <w:pPr>
              <w:spacing w:line="0" w:lineRule="atLeast"/>
              <w:jc w:val="both"/>
              <w:rPr>
                <w:rFonts w:ascii="微軟正黑體" w:eastAsia="微軟正黑體" w:hAnsi="微軟正黑體" w:cs="Times New Roman"/>
                <w:b/>
                <w:sz w:val="20"/>
                <w:szCs w:val="20"/>
              </w:rPr>
            </w:pPr>
            <w:sdt>
              <w:sdtPr>
                <w:rPr>
                  <w:rFonts w:ascii="微軟正黑體" w:eastAsia="微軟正黑體" w:hAnsi="微軟正黑體"/>
                  <w:sz w:val="20"/>
                  <w:szCs w:val="20"/>
                </w:rPr>
                <w:tag w:val="goog_rdk_1"/>
                <w:id w:val="-1190911203"/>
              </w:sdtPr>
              <w:sdtEndPr/>
              <w:sdtContent>
                <w:r w:rsidR="00BA7900" w:rsidRPr="00AB4EA2">
                  <w:rPr>
                    <w:rFonts w:ascii="微軟正黑體" w:eastAsia="微軟正黑體" w:hAnsi="微軟正黑體" w:cs="Gungsuh"/>
                    <w:sz w:val="20"/>
                    <w:szCs w:val="20"/>
                  </w:rPr>
                  <w:t>發稿單位：行銷推廣組</w:t>
                </w:r>
              </w:sdtContent>
            </w:sdt>
          </w:p>
        </w:tc>
        <w:tc>
          <w:tcPr>
            <w:tcW w:w="5423" w:type="dxa"/>
            <w:vAlign w:val="center"/>
          </w:tcPr>
          <w:p w:rsidR="00D7316D" w:rsidRPr="00AB4EA2" w:rsidRDefault="00A5457F" w:rsidP="00AB4EA2">
            <w:pPr>
              <w:spacing w:line="0" w:lineRule="atLeast"/>
              <w:ind w:firstLine="400"/>
              <w:jc w:val="both"/>
              <w:rPr>
                <w:rFonts w:ascii="微軟正黑體" w:eastAsia="微軟正黑體" w:hAnsi="微軟正黑體" w:cs="Times New Roman"/>
                <w:sz w:val="20"/>
                <w:szCs w:val="20"/>
                <w:u w:val="single"/>
              </w:rPr>
            </w:pPr>
            <w:sdt>
              <w:sdtPr>
                <w:rPr>
                  <w:rFonts w:ascii="微軟正黑體" w:eastAsia="微軟正黑體" w:hAnsi="微軟正黑體"/>
                  <w:sz w:val="20"/>
                  <w:szCs w:val="20"/>
                </w:rPr>
                <w:tag w:val="goog_rdk_2"/>
                <w:id w:val="1811973824"/>
              </w:sdtPr>
              <w:sdtEndPr/>
              <w:sdtContent>
                <w:r w:rsidR="00BA7900" w:rsidRPr="00AB4EA2">
                  <w:rPr>
                    <w:rFonts w:ascii="微軟正黑體" w:eastAsia="微軟正黑體" w:hAnsi="微軟正黑體" w:cs="Gungsuh"/>
                    <w:sz w:val="20"/>
                    <w:szCs w:val="20"/>
                  </w:rPr>
                  <w:t>臺北市立美術館官方網頁：</w:t>
                </w:r>
              </w:sdtContent>
            </w:sdt>
            <w:hyperlink r:id="rId7">
              <w:r w:rsidR="00BA7900" w:rsidRPr="00AB4EA2">
                <w:rPr>
                  <w:rFonts w:ascii="微軟正黑體" w:eastAsia="微軟正黑體" w:hAnsi="微軟正黑體" w:cs="Times New Roman"/>
                  <w:color w:val="0000FF"/>
                  <w:sz w:val="20"/>
                  <w:szCs w:val="20"/>
                  <w:u w:val="single"/>
                </w:rPr>
                <w:t>www.tfam.museum</w:t>
              </w:r>
            </w:hyperlink>
          </w:p>
        </w:tc>
      </w:tr>
      <w:tr w:rsidR="00D7316D" w:rsidRPr="00AB4EA2">
        <w:trPr>
          <w:trHeight w:val="424"/>
        </w:trPr>
        <w:tc>
          <w:tcPr>
            <w:tcW w:w="3918" w:type="dxa"/>
            <w:vAlign w:val="center"/>
          </w:tcPr>
          <w:p w:rsidR="00D7316D" w:rsidRPr="00AB4EA2" w:rsidRDefault="00A5457F" w:rsidP="00AB4EA2">
            <w:pPr>
              <w:spacing w:line="0" w:lineRule="atLeast"/>
              <w:jc w:val="both"/>
              <w:rPr>
                <w:rFonts w:ascii="微軟正黑體" w:eastAsia="微軟正黑體" w:hAnsi="微軟正黑體" w:cs="Times New Roman"/>
                <w:sz w:val="20"/>
                <w:szCs w:val="20"/>
              </w:rPr>
            </w:pPr>
            <w:sdt>
              <w:sdtPr>
                <w:rPr>
                  <w:rFonts w:ascii="微軟正黑體" w:eastAsia="微軟正黑體" w:hAnsi="微軟正黑體"/>
                  <w:sz w:val="20"/>
                  <w:szCs w:val="20"/>
                </w:rPr>
                <w:tag w:val="goog_rdk_3"/>
                <w:id w:val="-771776743"/>
              </w:sdtPr>
              <w:sdtEndPr/>
              <w:sdtContent>
                <w:r w:rsidR="00BA7900" w:rsidRPr="00AB4EA2">
                  <w:rPr>
                    <w:rFonts w:ascii="微軟正黑體" w:eastAsia="微軟正黑體" w:hAnsi="微軟正黑體" w:cs="Gungsuh"/>
                    <w:sz w:val="20"/>
                    <w:szCs w:val="20"/>
                  </w:rPr>
                  <w:t>發稿日期：2023/01/07</w:t>
                </w:r>
              </w:sdtContent>
            </w:sdt>
          </w:p>
        </w:tc>
        <w:tc>
          <w:tcPr>
            <w:tcW w:w="5423" w:type="dxa"/>
            <w:vAlign w:val="center"/>
          </w:tcPr>
          <w:p w:rsidR="00D7316D" w:rsidRPr="00AB4EA2" w:rsidRDefault="00A5457F" w:rsidP="00AB4EA2">
            <w:pPr>
              <w:widowControl/>
              <w:spacing w:line="0" w:lineRule="atLeast"/>
              <w:jc w:val="both"/>
              <w:rPr>
                <w:rFonts w:ascii="微軟正黑體" w:eastAsia="微軟正黑體" w:hAnsi="微軟正黑體" w:cs="Times New Roman"/>
                <w:sz w:val="20"/>
                <w:szCs w:val="20"/>
              </w:rPr>
            </w:pPr>
            <w:sdt>
              <w:sdtPr>
                <w:rPr>
                  <w:rFonts w:ascii="微軟正黑體" w:eastAsia="微軟正黑體" w:hAnsi="微軟正黑體"/>
                  <w:sz w:val="20"/>
                  <w:szCs w:val="20"/>
                </w:rPr>
                <w:tag w:val="goog_rdk_4"/>
                <w:id w:val="-367521201"/>
              </w:sdtPr>
              <w:sdtEndPr/>
              <w:sdtContent>
                <w:r w:rsidR="00BA7900" w:rsidRPr="00AB4EA2">
                  <w:rPr>
                    <w:rFonts w:ascii="微軟正黑體" w:eastAsia="微軟正黑體" w:hAnsi="微軟正黑體" w:cs="Gungsuh"/>
                    <w:sz w:val="20"/>
                    <w:szCs w:val="20"/>
                  </w:rPr>
                  <w:t>FB粉絲專頁：臺北市立美術館Taipei Fine Arts Museum</w:t>
                </w:r>
              </w:sdtContent>
            </w:sdt>
          </w:p>
        </w:tc>
      </w:tr>
      <w:tr w:rsidR="00D7316D" w:rsidRPr="00AB4EA2">
        <w:trPr>
          <w:trHeight w:val="100"/>
        </w:trPr>
        <w:tc>
          <w:tcPr>
            <w:tcW w:w="9341" w:type="dxa"/>
            <w:gridSpan w:val="2"/>
            <w:vAlign w:val="center"/>
          </w:tcPr>
          <w:p w:rsidR="00D7316D" w:rsidRPr="00AB4EA2" w:rsidRDefault="00A5457F" w:rsidP="00AB4EA2">
            <w:pPr>
              <w:widowControl/>
              <w:spacing w:line="0" w:lineRule="atLeast"/>
              <w:jc w:val="both"/>
              <w:rPr>
                <w:rFonts w:ascii="微軟正黑體" w:eastAsia="微軟正黑體" w:hAnsi="微軟正黑體" w:cs="Times New Roman"/>
                <w:color w:val="0000FF"/>
                <w:sz w:val="20"/>
                <w:szCs w:val="20"/>
                <w:u w:val="single"/>
              </w:rPr>
            </w:pPr>
            <w:sdt>
              <w:sdtPr>
                <w:rPr>
                  <w:rFonts w:ascii="微軟正黑體" w:eastAsia="微軟正黑體" w:hAnsi="微軟正黑體"/>
                  <w:sz w:val="20"/>
                  <w:szCs w:val="20"/>
                </w:rPr>
                <w:tag w:val="goog_rdk_5"/>
                <w:id w:val="-1129698734"/>
              </w:sdtPr>
              <w:sdtEndPr/>
              <w:sdtContent>
                <w:r w:rsidR="00BA7900" w:rsidRPr="00AB4EA2">
                  <w:rPr>
                    <w:rFonts w:ascii="微軟正黑體" w:eastAsia="微軟正黑體" w:hAnsi="微軟正黑體" w:cs="Gungsuh"/>
                    <w:sz w:val="20"/>
                    <w:szCs w:val="20"/>
                  </w:rPr>
                  <w:t>媒體聯絡人：劉惠平 02-2595-7656分機111，</w:t>
                </w:r>
              </w:sdtContent>
            </w:sdt>
            <w:hyperlink r:id="rId8">
              <w:r w:rsidR="00BA7900" w:rsidRPr="00AB4EA2">
                <w:rPr>
                  <w:rFonts w:ascii="微軟正黑體" w:eastAsia="微軟正黑體" w:hAnsi="微軟正黑體" w:cs="Times New Roman"/>
                  <w:color w:val="0000FF"/>
                  <w:sz w:val="20"/>
                  <w:szCs w:val="20"/>
                  <w:u w:val="single"/>
                </w:rPr>
                <w:t>hpliu-fam@gov.taipei</w:t>
              </w:r>
            </w:hyperlink>
          </w:p>
          <w:p w:rsidR="00D7316D" w:rsidRPr="00AB4EA2" w:rsidRDefault="00A5457F" w:rsidP="00AB4EA2">
            <w:pPr>
              <w:widowControl/>
              <w:spacing w:after="240" w:line="0" w:lineRule="atLeast"/>
              <w:jc w:val="both"/>
              <w:rPr>
                <w:rFonts w:ascii="微軟正黑體" w:eastAsia="微軟正黑體" w:hAnsi="微軟正黑體" w:cs="Times New Roman"/>
                <w:sz w:val="20"/>
                <w:szCs w:val="20"/>
              </w:rPr>
            </w:pPr>
            <w:sdt>
              <w:sdtPr>
                <w:rPr>
                  <w:rFonts w:ascii="微軟正黑體" w:eastAsia="微軟正黑體" w:hAnsi="微軟正黑體"/>
                  <w:sz w:val="20"/>
                  <w:szCs w:val="20"/>
                </w:rPr>
                <w:tag w:val="goog_rdk_6"/>
                <w:id w:val="-358121935"/>
              </w:sdtPr>
              <w:sdtEndPr/>
              <w:sdtContent>
                <w:r w:rsidR="00BA7900" w:rsidRPr="00AB4EA2">
                  <w:rPr>
                    <w:rFonts w:ascii="微軟正黑體" w:eastAsia="微軟正黑體" w:hAnsi="微軟正黑體" w:cs="Gungsuh"/>
                    <w:sz w:val="20"/>
                    <w:szCs w:val="20"/>
                  </w:rPr>
                  <w:t xml:space="preserve">            </w:t>
                </w:r>
                <w:r w:rsidR="00AB4EA2">
                  <w:rPr>
                    <w:rFonts w:ascii="微軟正黑體" w:eastAsia="微軟正黑體" w:hAnsi="微軟正黑體" w:cs="Gungsuh" w:hint="eastAsia"/>
                    <w:sz w:val="20"/>
                    <w:szCs w:val="20"/>
                  </w:rPr>
                  <w:t xml:space="preserve">            </w:t>
                </w:r>
                <w:r w:rsidR="00BA7900" w:rsidRPr="00AB4EA2">
                  <w:rPr>
                    <w:rFonts w:ascii="微軟正黑體" w:eastAsia="微軟正黑體" w:hAnsi="微軟正黑體" w:cs="Gungsuh"/>
                    <w:sz w:val="20"/>
                    <w:szCs w:val="20"/>
                  </w:rPr>
                  <w:t>高子</w:t>
                </w:r>
                <w:proofErr w:type="gramStart"/>
                <w:r w:rsidR="00BA7900" w:rsidRPr="00AB4EA2">
                  <w:rPr>
                    <w:rFonts w:ascii="微軟正黑體" w:eastAsia="微軟正黑體" w:hAnsi="微軟正黑體" w:cs="Gungsuh"/>
                    <w:sz w:val="20"/>
                    <w:szCs w:val="20"/>
                  </w:rPr>
                  <w:t>衿</w:t>
                </w:r>
                <w:proofErr w:type="gramEnd"/>
                <w:r w:rsidR="00BA7900" w:rsidRPr="00AB4EA2">
                  <w:rPr>
                    <w:rFonts w:ascii="微軟正黑體" w:eastAsia="微軟正黑體" w:hAnsi="微軟正黑體" w:cs="Gungsuh"/>
                    <w:sz w:val="20"/>
                    <w:szCs w:val="20"/>
                  </w:rPr>
                  <w:t xml:space="preserve"> 02-2595-7656分機110，</w:t>
                </w:r>
              </w:sdtContent>
            </w:sdt>
            <w:hyperlink r:id="rId9">
              <w:r w:rsidR="00BA7900" w:rsidRPr="00AB4EA2">
                <w:rPr>
                  <w:rFonts w:ascii="微軟正黑體" w:eastAsia="微軟正黑體" w:hAnsi="微軟正黑體" w:cs="Times New Roman"/>
                  <w:color w:val="0000FF"/>
                  <w:sz w:val="20"/>
                  <w:szCs w:val="20"/>
                  <w:u w:val="single"/>
                </w:rPr>
                <w:t>tckao-tfam@gov.taipei</w:t>
              </w:r>
            </w:hyperlink>
          </w:p>
        </w:tc>
      </w:tr>
    </w:tbl>
    <w:p w:rsidR="00D7316D" w:rsidRDefault="00BA7900">
      <w:pPr>
        <w:widowControl/>
        <w:jc w:val="center"/>
        <w:rPr>
          <w:rFonts w:ascii="Times New Roman" w:eastAsia="Times New Roman" w:hAnsi="Times New Roman" w:cs="Times New Roman"/>
          <w:b/>
        </w:rPr>
      </w:pPr>
      <w:r>
        <w:rPr>
          <w:noProof/>
        </w:rPr>
        <w:drawing>
          <wp:inline distT="0" distB="0" distL="0" distR="0">
            <wp:extent cx="3149271" cy="2356891"/>
            <wp:effectExtent l="0" t="0" r="0" b="0"/>
            <wp:docPr id="7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49271" cy="235689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7316D" w:rsidRDefault="00D7316D">
      <w:pPr>
        <w:widowControl/>
        <w:jc w:val="center"/>
        <w:rPr>
          <w:rFonts w:ascii="Times New Roman" w:eastAsia="Times New Roman" w:hAnsi="Times New Roman" w:cs="Times New Roman"/>
          <w:b/>
        </w:rPr>
      </w:pPr>
    </w:p>
    <w:p w:rsidR="00D7316D" w:rsidRDefault="00A5457F">
      <w:pPr>
        <w:widowControl/>
        <w:jc w:val="center"/>
        <w:rPr>
          <w:rFonts w:ascii="Times New Roman" w:eastAsia="Times New Roman" w:hAnsi="Times New Roman" w:cs="Times New Roman"/>
          <w:b/>
        </w:rPr>
      </w:pPr>
      <w:sdt>
        <w:sdtPr>
          <w:tag w:val="goog_rdk_7"/>
          <w:id w:val="2122723174"/>
        </w:sdtPr>
        <w:sdtEndPr/>
        <w:sdtContent>
          <w:r w:rsidR="00BA7900">
            <w:rPr>
              <w:rFonts w:ascii="Gungsuh" w:eastAsia="Gungsuh" w:hAnsi="Gungsuh" w:cs="Gungsuh"/>
              <w:b/>
            </w:rPr>
            <w:t>現代建築在臺灣的實踐者，追思高而</w:t>
          </w:r>
          <w:proofErr w:type="gramStart"/>
          <w:r w:rsidR="00BA7900">
            <w:rPr>
              <w:rFonts w:ascii="Gungsuh" w:eastAsia="Gungsuh" w:hAnsi="Gungsuh" w:cs="Gungsuh"/>
              <w:b/>
            </w:rPr>
            <w:t>潘</w:t>
          </w:r>
          <w:proofErr w:type="gramEnd"/>
          <w:r w:rsidR="00BA7900">
            <w:rPr>
              <w:rFonts w:ascii="Gungsuh" w:eastAsia="Gungsuh" w:hAnsi="Gungsuh" w:cs="Gungsuh"/>
              <w:b/>
            </w:rPr>
            <w:t>建築師</w:t>
          </w:r>
        </w:sdtContent>
      </w:sdt>
    </w:p>
    <w:p w:rsidR="00D7316D" w:rsidRDefault="00BA7900" w:rsidP="00090217">
      <w:pPr>
        <w:spacing w:before="240" w:line="0" w:lineRule="atLeast"/>
        <w:jc w:val="both"/>
        <w:rPr>
          <w:rFonts w:ascii="微軟正黑體" w:eastAsia="微軟正黑體" w:hAnsi="微軟正黑體" w:cs="微軟正黑體"/>
          <w:color w:val="262626"/>
          <w:sz w:val="22"/>
          <w:szCs w:val="22"/>
        </w:rPr>
      </w:pPr>
      <w:bookmarkStart w:id="0" w:name="_heading=h.gjdgxs" w:colFirst="0" w:colLast="0"/>
      <w:bookmarkEnd w:id="0"/>
      <w:r>
        <w:rPr>
          <w:rFonts w:ascii="微軟正黑體" w:eastAsia="微軟正黑體" w:hAnsi="微軟正黑體" w:cs="微軟正黑體"/>
          <w:color w:val="262626"/>
          <w:sz w:val="22"/>
          <w:szCs w:val="22"/>
        </w:rPr>
        <w:t>高而</w:t>
      </w:r>
      <w:proofErr w:type="gramStart"/>
      <w:r>
        <w:rPr>
          <w:rFonts w:ascii="微軟正黑體" w:eastAsia="微軟正黑體" w:hAnsi="微軟正黑體" w:cs="微軟正黑體"/>
          <w:color w:val="262626"/>
          <w:sz w:val="22"/>
          <w:szCs w:val="22"/>
        </w:rPr>
        <w:t>潘</w:t>
      </w:r>
      <w:proofErr w:type="gramEnd"/>
      <w:r>
        <w:rPr>
          <w:rFonts w:ascii="微軟正黑體" w:eastAsia="微軟正黑體" w:hAnsi="微軟正黑體" w:cs="微軟正黑體"/>
          <w:color w:val="262626"/>
          <w:sz w:val="22"/>
          <w:szCs w:val="22"/>
        </w:rPr>
        <w:t>建築師於2022年11月14日辭世，享耆壽95歲，建築界深感遺憾與不捨。文化部部長已於</w:t>
      </w:r>
      <w:proofErr w:type="gramStart"/>
      <w:r>
        <w:rPr>
          <w:rFonts w:ascii="微軟正黑體" w:eastAsia="微軟正黑體" w:hAnsi="微軟正黑體" w:cs="微軟正黑體"/>
          <w:color w:val="262626"/>
          <w:sz w:val="22"/>
          <w:szCs w:val="22"/>
        </w:rPr>
        <w:t>告別式代總統府</w:t>
      </w:r>
      <w:proofErr w:type="gramEnd"/>
      <w:r>
        <w:rPr>
          <w:rFonts w:ascii="微軟正黑體" w:eastAsia="微軟正黑體" w:hAnsi="微軟正黑體" w:cs="微軟正黑體"/>
          <w:color w:val="262626"/>
          <w:sz w:val="22"/>
          <w:szCs w:val="22"/>
        </w:rPr>
        <w:t>頒發褒揚令；為讓建築界與文化界的朋友能共同追思與悼念，王大閎建築研究與保存學會與臺北市立美術館於1月5日共同主辦「走向現代</w:t>
      </w:r>
      <w:proofErr w:type="gramStart"/>
      <w:r>
        <w:rPr>
          <w:rFonts w:ascii="微軟正黑體" w:eastAsia="微軟正黑體" w:hAnsi="微軟正黑體" w:cs="微軟正黑體"/>
          <w:color w:val="262626"/>
          <w:sz w:val="22"/>
          <w:szCs w:val="22"/>
        </w:rPr>
        <w:t>─</w:t>
      </w:r>
      <w:proofErr w:type="gramEnd"/>
      <w:r>
        <w:rPr>
          <w:rFonts w:ascii="微軟正黑體" w:eastAsia="微軟正黑體" w:hAnsi="微軟正黑體" w:cs="微軟正黑體"/>
          <w:color w:val="262626"/>
          <w:sz w:val="22"/>
          <w:szCs w:val="22"/>
        </w:rPr>
        <w:t>高而潘建築師追思紀念會」以茲紀念，當日有逾百位的好友、同僚與建築文化界人士參與。</w:t>
      </w:r>
    </w:p>
    <w:p w:rsidR="00D7316D" w:rsidRDefault="00BA7900" w:rsidP="00090217">
      <w:pPr>
        <w:spacing w:before="240" w:line="0" w:lineRule="atLeast"/>
        <w:jc w:val="both"/>
        <w:rPr>
          <w:rFonts w:ascii="微軟正黑體" w:eastAsia="微軟正黑體" w:hAnsi="微軟正黑體" w:cs="微軟正黑體"/>
          <w:color w:val="262626"/>
          <w:sz w:val="22"/>
          <w:szCs w:val="22"/>
        </w:rPr>
      </w:pPr>
      <w:r>
        <w:rPr>
          <w:rFonts w:ascii="微軟正黑體" w:eastAsia="微軟正黑體" w:hAnsi="微軟正黑體" w:cs="微軟正黑體"/>
          <w:color w:val="262626"/>
          <w:sz w:val="22"/>
          <w:szCs w:val="22"/>
        </w:rPr>
        <w:t>1928年，高而</w:t>
      </w:r>
      <w:proofErr w:type="gramStart"/>
      <w:r>
        <w:rPr>
          <w:rFonts w:ascii="微軟正黑體" w:eastAsia="微軟正黑體" w:hAnsi="微軟正黑體" w:cs="微軟正黑體"/>
          <w:color w:val="262626"/>
          <w:sz w:val="22"/>
          <w:szCs w:val="22"/>
        </w:rPr>
        <w:t>潘</w:t>
      </w:r>
      <w:proofErr w:type="gramEnd"/>
      <w:r>
        <w:rPr>
          <w:rFonts w:ascii="微軟正黑體" w:eastAsia="微軟正黑體" w:hAnsi="微軟正黑體" w:cs="微軟正黑體"/>
          <w:color w:val="262626"/>
          <w:sz w:val="22"/>
          <w:szCs w:val="22"/>
        </w:rPr>
        <w:t>出生於臺北大稻埕的迪化街，在霞海城隍廟附近有間知名的高源發布莊，即是由他的祖父高地龍創設，亦為當時的望族家庭。膠彩畫家郭雪湖的經典作品《南街殷賑》中，在遠近林立的</w:t>
      </w:r>
      <w:proofErr w:type="gramStart"/>
      <w:r>
        <w:rPr>
          <w:rFonts w:ascii="微軟正黑體" w:eastAsia="微軟正黑體" w:hAnsi="微軟正黑體" w:cs="微軟正黑體"/>
          <w:color w:val="262626"/>
          <w:sz w:val="22"/>
          <w:szCs w:val="22"/>
        </w:rPr>
        <w:t>招牌間便描繪</w:t>
      </w:r>
      <w:proofErr w:type="gramEnd"/>
      <w:r>
        <w:rPr>
          <w:rFonts w:ascii="微軟正黑體" w:eastAsia="微軟正黑體" w:hAnsi="微軟正黑體" w:cs="微軟正黑體"/>
          <w:color w:val="262626"/>
          <w:sz w:val="22"/>
          <w:szCs w:val="22"/>
        </w:rPr>
        <w:t>了高源發布莊的店招。</w:t>
      </w:r>
    </w:p>
    <w:p w:rsidR="00D7316D" w:rsidRDefault="00BA7900" w:rsidP="00090217">
      <w:pPr>
        <w:spacing w:before="240" w:line="0" w:lineRule="atLeast"/>
        <w:jc w:val="both"/>
        <w:rPr>
          <w:rFonts w:ascii="微軟正黑體" w:eastAsia="微軟正黑體" w:hAnsi="微軟正黑體" w:cs="微軟正黑體"/>
          <w:color w:val="262626"/>
          <w:sz w:val="22"/>
          <w:szCs w:val="22"/>
        </w:rPr>
      </w:pPr>
      <w:r>
        <w:rPr>
          <w:rFonts w:ascii="微軟正黑體" w:eastAsia="微軟正黑體" w:hAnsi="微軟正黑體" w:cs="微軟正黑體"/>
          <w:color w:val="262626"/>
          <w:sz w:val="22"/>
          <w:szCs w:val="22"/>
        </w:rPr>
        <w:t>小學至高中，高而</w:t>
      </w:r>
      <w:proofErr w:type="gramStart"/>
      <w:r>
        <w:rPr>
          <w:rFonts w:ascii="微軟正黑體" w:eastAsia="微軟正黑體" w:hAnsi="微軟正黑體" w:cs="微軟正黑體"/>
          <w:color w:val="262626"/>
          <w:sz w:val="22"/>
          <w:szCs w:val="22"/>
        </w:rPr>
        <w:t>潘</w:t>
      </w:r>
      <w:proofErr w:type="gramEnd"/>
      <w:r>
        <w:rPr>
          <w:rFonts w:ascii="微軟正黑體" w:eastAsia="微軟正黑體" w:hAnsi="微軟正黑體" w:cs="微軟正黑體"/>
          <w:color w:val="262626"/>
          <w:sz w:val="22"/>
          <w:szCs w:val="22"/>
        </w:rPr>
        <w:t>接受了完整的日式教育，1951年畢業於臺南工學院建築系（今國立成功大學），並通過公務人員高等考試建設人員及工業技師考試，曾擔任臺北市建築師公會、中華民國全國建築師公會理事長。他是臺灣第一代本土培養的建築師，即便專業養成在臺灣，日後他的研究路徑卻深受日本建築文化的影響。</w:t>
      </w:r>
    </w:p>
    <w:p w:rsidR="00D7316D" w:rsidRDefault="00BA7900" w:rsidP="00090217">
      <w:pPr>
        <w:spacing w:before="240" w:line="0" w:lineRule="atLeast"/>
        <w:jc w:val="both"/>
        <w:rPr>
          <w:rFonts w:ascii="微軟正黑體" w:eastAsia="微軟正黑體" w:hAnsi="微軟正黑體" w:cs="微軟正黑體"/>
          <w:color w:val="262626"/>
          <w:sz w:val="22"/>
          <w:szCs w:val="22"/>
        </w:rPr>
      </w:pPr>
      <w:r>
        <w:rPr>
          <w:rFonts w:ascii="微軟正黑體" w:eastAsia="微軟正黑體" w:hAnsi="微軟正黑體" w:cs="微軟正黑體"/>
          <w:color w:val="262626"/>
          <w:sz w:val="22"/>
          <w:szCs w:val="22"/>
        </w:rPr>
        <w:t>任職基泰工程司</w:t>
      </w:r>
      <w:proofErr w:type="gramStart"/>
      <w:r>
        <w:rPr>
          <w:rFonts w:ascii="微軟正黑體" w:eastAsia="微軟正黑體" w:hAnsi="微軟正黑體" w:cs="微軟正黑體"/>
          <w:color w:val="262626"/>
          <w:sz w:val="22"/>
          <w:szCs w:val="22"/>
        </w:rPr>
        <w:t>期間（</w:t>
      </w:r>
      <w:proofErr w:type="gramEnd"/>
      <w:r>
        <w:rPr>
          <w:rFonts w:ascii="微軟正黑體" w:eastAsia="微軟正黑體" w:hAnsi="微軟正黑體" w:cs="微軟正黑體"/>
          <w:color w:val="262626"/>
          <w:sz w:val="22"/>
          <w:szCs w:val="22"/>
        </w:rPr>
        <w:t>1957-1966），在主持建築師關頌聲的支持下，1960年遠渡重洋至日本參加東京世界設計會議，並停留了四個月左右，</w:t>
      </w:r>
      <w:proofErr w:type="gramStart"/>
      <w:r>
        <w:rPr>
          <w:rFonts w:ascii="微軟正黑體" w:eastAsia="微軟正黑體" w:hAnsi="微軟正黑體" w:cs="微軟正黑體"/>
          <w:color w:val="262626"/>
          <w:sz w:val="22"/>
          <w:szCs w:val="22"/>
        </w:rPr>
        <w:t>包含於佐</w:t>
      </w:r>
      <w:proofErr w:type="gramEnd"/>
      <w:r>
        <w:rPr>
          <w:rFonts w:ascii="微軟正黑體" w:eastAsia="微軟正黑體" w:hAnsi="微軟正黑體" w:cs="微軟正黑體"/>
          <w:color w:val="262626"/>
          <w:sz w:val="22"/>
          <w:szCs w:val="22"/>
        </w:rPr>
        <w:t>藤武夫事務所的兩個月，後經臺灣裔日本建築師與建築學者郭茂林推薦，至</w:t>
      </w:r>
      <w:proofErr w:type="gramStart"/>
      <w:r>
        <w:rPr>
          <w:rFonts w:ascii="微軟正黑體" w:eastAsia="微軟正黑體" w:hAnsi="微軟正黑體" w:cs="微軟正黑體"/>
          <w:color w:val="262626"/>
          <w:sz w:val="22"/>
          <w:szCs w:val="22"/>
        </w:rPr>
        <w:t>前川</w:t>
      </w:r>
      <w:proofErr w:type="gramEnd"/>
      <w:r>
        <w:rPr>
          <w:rFonts w:ascii="微軟正黑體" w:eastAsia="微軟正黑體" w:hAnsi="微軟正黑體" w:cs="微軟正黑體"/>
          <w:color w:val="262626"/>
          <w:sz w:val="22"/>
          <w:szCs w:val="22"/>
        </w:rPr>
        <w:t>國男建築師事務所又待了兩個月，這段不算長的經歷，對當時32歲的高而潘而言，是一段值得珍惜的「留學」歲月。</w:t>
      </w:r>
    </w:p>
    <w:p w:rsidR="00D7316D" w:rsidRDefault="00BA7900" w:rsidP="00090217">
      <w:pPr>
        <w:spacing w:before="240" w:line="0" w:lineRule="atLeast"/>
        <w:jc w:val="both"/>
        <w:rPr>
          <w:rFonts w:ascii="微軟正黑體" w:eastAsia="微軟正黑體" w:hAnsi="微軟正黑體" w:cs="微軟正黑體"/>
          <w:color w:val="262626"/>
          <w:sz w:val="22"/>
          <w:szCs w:val="22"/>
        </w:rPr>
      </w:pPr>
      <w:r>
        <w:rPr>
          <w:rFonts w:ascii="微軟正黑體" w:eastAsia="微軟正黑體" w:hAnsi="微軟正黑體" w:cs="微軟正黑體"/>
          <w:color w:val="262626"/>
          <w:sz w:val="22"/>
          <w:szCs w:val="22"/>
        </w:rPr>
        <w:t>高而</w:t>
      </w:r>
      <w:proofErr w:type="gramStart"/>
      <w:r>
        <w:rPr>
          <w:rFonts w:ascii="微軟正黑體" w:eastAsia="微軟正黑體" w:hAnsi="微軟正黑體" w:cs="微軟正黑體"/>
          <w:color w:val="262626"/>
          <w:sz w:val="22"/>
          <w:szCs w:val="22"/>
        </w:rPr>
        <w:t>潘</w:t>
      </w:r>
      <w:proofErr w:type="gramEnd"/>
      <w:r>
        <w:rPr>
          <w:rFonts w:ascii="微軟正黑體" w:eastAsia="微軟正黑體" w:hAnsi="微軟正黑體" w:cs="微軟正黑體"/>
          <w:color w:val="262626"/>
          <w:sz w:val="22"/>
          <w:szCs w:val="22"/>
        </w:rPr>
        <w:t>39歲時離開基泰工程司，獨立開設自己的事務所。新淡水高爾夫球場俱樂部是其開業後</w:t>
      </w:r>
      <w:r>
        <w:rPr>
          <w:rFonts w:ascii="微軟正黑體" w:eastAsia="微軟正黑體" w:hAnsi="微軟正黑體" w:cs="微軟正黑體"/>
          <w:color w:val="262626"/>
          <w:sz w:val="22"/>
          <w:szCs w:val="22"/>
        </w:rPr>
        <w:lastRenderedPageBreak/>
        <w:t>第一個重要作品，最大的特色在於屋頂的隱喻，概念來自於日本學習</w:t>
      </w:r>
      <w:proofErr w:type="gramStart"/>
      <w:r>
        <w:rPr>
          <w:rFonts w:ascii="微軟正黑體" w:eastAsia="微軟正黑體" w:hAnsi="微軟正黑體" w:cs="微軟正黑體"/>
          <w:color w:val="262626"/>
          <w:sz w:val="22"/>
          <w:szCs w:val="22"/>
        </w:rPr>
        <w:t>之旅所獲</w:t>
      </w:r>
      <w:proofErr w:type="gramEnd"/>
      <w:r>
        <w:rPr>
          <w:rFonts w:ascii="微軟正黑體" w:eastAsia="微軟正黑體" w:hAnsi="微軟正黑體" w:cs="微軟正黑體"/>
          <w:color w:val="262626"/>
          <w:sz w:val="22"/>
          <w:szCs w:val="22"/>
        </w:rPr>
        <w:t>。在日本行即將結束之際，他與吳讓治教授的</w:t>
      </w:r>
      <w:proofErr w:type="gramStart"/>
      <w:r>
        <w:rPr>
          <w:rFonts w:ascii="微軟正黑體" w:eastAsia="微軟正黑體" w:hAnsi="微軟正黑體" w:cs="微軟正黑體"/>
          <w:color w:val="262626"/>
          <w:sz w:val="22"/>
          <w:szCs w:val="22"/>
        </w:rPr>
        <w:t>一趟奈</w:t>
      </w:r>
      <w:proofErr w:type="gramEnd"/>
      <w:r>
        <w:rPr>
          <w:rFonts w:ascii="微軟正黑體" w:eastAsia="微軟正黑體" w:hAnsi="微軟正黑體" w:cs="微軟正黑體"/>
          <w:color w:val="262626"/>
          <w:sz w:val="22"/>
          <w:szCs w:val="22"/>
        </w:rPr>
        <w:t>良東大寺之旅，走了長長的路停下休息，抬頭一看，遠處看到東大寺屋頂翻揚在林間樹梢上，高而潘說：「是不是華人建築之美，在於往上看見朱紅的屋頂，如果讓它漂浮在空中，不是很好嗎？」因此産生高爾夫球場俱樂部反曲弧形大屋頂的實驗。</w:t>
      </w:r>
    </w:p>
    <w:p w:rsidR="00D7316D" w:rsidRDefault="00BA7900" w:rsidP="00090217">
      <w:pPr>
        <w:spacing w:before="240" w:line="0" w:lineRule="atLeast"/>
        <w:jc w:val="both"/>
        <w:rPr>
          <w:rFonts w:ascii="微軟正黑體" w:eastAsia="微軟正黑體" w:hAnsi="微軟正黑體" w:cs="微軟正黑體"/>
          <w:color w:val="262626"/>
          <w:sz w:val="22"/>
          <w:szCs w:val="22"/>
        </w:rPr>
      </w:pPr>
      <w:proofErr w:type="gramStart"/>
      <w:r>
        <w:rPr>
          <w:rFonts w:ascii="微軟正黑體" w:eastAsia="微軟正黑體" w:hAnsi="微軟正黑體" w:cs="微軟正黑體"/>
          <w:color w:val="262626"/>
          <w:sz w:val="22"/>
          <w:szCs w:val="22"/>
        </w:rPr>
        <w:t>1970</w:t>
      </w:r>
      <w:proofErr w:type="gramEnd"/>
      <w:r>
        <w:rPr>
          <w:rFonts w:ascii="微軟正黑體" w:eastAsia="微軟正黑體" w:hAnsi="微軟正黑體" w:cs="微軟正黑體"/>
          <w:color w:val="262626"/>
          <w:sz w:val="22"/>
          <w:szCs w:val="22"/>
        </w:rPr>
        <w:t>年代後事務所雖陸續有許多不同類型的建築嘗試，但由於房地產市場逐漸主導設計品味，高而潘當機立斷，決定參加競圖以求突破。</w:t>
      </w:r>
      <w:proofErr w:type="gramStart"/>
      <w:r>
        <w:rPr>
          <w:rFonts w:ascii="微軟正黑體" w:eastAsia="微軟正黑體" w:hAnsi="微軟正黑體" w:cs="微軟正黑體"/>
          <w:color w:val="262626"/>
          <w:sz w:val="22"/>
          <w:szCs w:val="22"/>
        </w:rPr>
        <w:t>1980</w:t>
      </w:r>
      <w:proofErr w:type="gramEnd"/>
      <w:r>
        <w:rPr>
          <w:rFonts w:ascii="微軟正黑體" w:eastAsia="微軟正黑體" w:hAnsi="微軟正黑體" w:cs="微軟正黑體"/>
          <w:color w:val="262626"/>
          <w:sz w:val="22"/>
          <w:szCs w:val="22"/>
        </w:rPr>
        <w:t>年代前後幾棟地標性的建築就是此時的代表之作，如臺北市銀行大樓（1978）、臺汽客運中崙站（1981）、華視大樓（1983）、臺北市立美術館（1983）等膾炙人口的作品。</w:t>
      </w:r>
    </w:p>
    <w:p w:rsidR="00D7316D" w:rsidRDefault="00BA7900" w:rsidP="00090217">
      <w:pPr>
        <w:spacing w:before="240" w:line="0" w:lineRule="atLeast"/>
        <w:jc w:val="both"/>
        <w:rPr>
          <w:rFonts w:ascii="微軟正黑體" w:eastAsia="微軟正黑體" w:hAnsi="微軟正黑體" w:cs="微軟正黑體"/>
          <w:color w:val="262626"/>
          <w:sz w:val="22"/>
          <w:szCs w:val="22"/>
        </w:rPr>
      </w:pPr>
      <w:r>
        <w:rPr>
          <w:rFonts w:ascii="微軟正黑體" w:eastAsia="微軟正黑體" w:hAnsi="微軟正黑體" w:cs="微軟正黑體"/>
          <w:color w:val="262626"/>
          <w:sz w:val="22"/>
          <w:szCs w:val="22"/>
        </w:rPr>
        <w:t>其中，臺北市銀行大樓為都市的高層商業辦公大樓，以水平窗採光，並分離出垂直的服務核；華視大樓底層及地下的公共空間為市民所享用，為當時的創舉。而當參加北美館的競圖時，在尚未解嚴的社會氣氛之下，他力排眾議，拿出一張沒有尖頂、燕尾的設計圖，以中空的管子組成格狀，</w:t>
      </w:r>
      <w:proofErr w:type="gramStart"/>
      <w:r>
        <w:rPr>
          <w:rFonts w:ascii="微軟正黑體" w:eastAsia="微軟正黑體" w:hAnsi="微軟正黑體" w:cs="微軟正黑體"/>
          <w:color w:val="262626"/>
          <w:sz w:val="22"/>
          <w:szCs w:val="22"/>
        </w:rPr>
        <w:t>形構出</w:t>
      </w:r>
      <w:proofErr w:type="gramEnd"/>
      <w:r>
        <w:rPr>
          <w:rFonts w:ascii="微軟正黑體" w:eastAsia="微軟正黑體" w:hAnsi="微軟正黑體" w:cs="微軟正黑體"/>
          <w:color w:val="262626"/>
          <w:sz w:val="22"/>
          <w:szCs w:val="22"/>
        </w:rPr>
        <w:t>四方幾何、同時留有中庭的現代感建築，並大膽採用當時只運用在橋樑設計上的預力結構技術。今年北美館即將迎來成立40周年，其不規則白色建築的獨特外型，已成為臺北市著名的文化地標象徵。</w:t>
      </w:r>
    </w:p>
    <w:p w:rsidR="00D7316D" w:rsidRDefault="00BA7900" w:rsidP="00090217">
      <w:pPr>
        <w:spacing w:before="240" w:line="0" w:lineRule="atLeast"/>
        <w:jc w:val="both"/>
        <w:rPr>
          <w:rFonts w:ascii="微軟正黑體" w:eastAsia="微軟正黑體" w:hAnsi="微軟正黑體" w:cs="微軟正黑體"/>
          <w:color w:val="262626"/>
          <w:sz w:val="22"/>
          <w:szCs w:val="22"/>
        </w:rPr>
      </w:pPr>
      <w:r>
        <w:rPr>
          <w:rFonts w:ascii="微軟正黑體" w:eastAsia="微軟正黑體" w:hAnsi="微軟正黑體" w:cs="微軟正黑體"/>
          <w:color w:val="262626"/>
          <w:sz w:val="22"/>
          <w:szCs w:val="22"/>
        </w:rPr>
        <w:t>在追思紀念會中，北美館王俊傑館長指出，「作為臺灣</w:t>
      </w:r>
      <w:proofErr w:type="gramStart"/>
      <w:r>
        <w:rPr>
          <w:rFonts w:ascii="微軟正黑體" w:eastAsia="微軟正黑體" w:hAnsi="微軟正黑體" w:cs="微軟正黑體"/>
          <w:color w:val="262626"/>
          <w:sz w:val="22"/>
          <w:szCs w:val="22"/>
        </w:rPr>
        <w:t>第一座現當代</w:t>
      </w:r>
      <w:proofErr w:type="gramEnd"/>
      <w:r>
        <w:rPr>
          <w:rFonts w:ascii="微軟正黑體" w:eastAsia="微軟正黑體" w:hAnsi="微軟正黑體" w:cs="微軟正黑體"/>
          <w:color w:val="262626"/>
          <w:sz w:val="22"/>
          <w:szCs w:val="22"/>
        </w:rPr>
        <w:t>公共美術館的北美館，是由高而潘建築師所設計。其</w:t>
      </w:r>
      <w:proofErr w:type="gramStart"/>
      <w:r>
        <w:rPr>
          <w:rFonts w:ascii="微軟正黑體" w:eastAsia="微軟正黑體" w:hAnsi="微軟正黑體" w:cs="微軟正黑體"/>
          <w:color w:val="262626"/>
          <w:sz w:val="22"/>
          <w:szCs w:val="22"/>
        </w:rPr>
        <w:t>曾說過</w:t>
      </w:r>
      <w:proofErr w:type="gramEnd"/>
      <w:r>
        <w:rPr>
          <w:rFonts w:ascii="微軟正黑體" w:eastAsia="微軟正黑體" w:hAnsi="微軟正黑體" w:cs="微軟正黑體"/>
          <w:color w:val="262626"/>
          <w:sz w:val="22"/>
          <w:szCs w:val="22"/>
        </w:rPr>
        <w:t>，一個建築作品70 %是由建築師創造，30 %則留給藝術家，很適切的印證現代主義開放的對話性。在</w:t>
      </w:r>
      <w:proofErr w:type="gramStart"/>
      <w:r>
        <w:rPr>
          <w:rFonts w:ascii="微軟正黑體" w:eastAsia="微軟正黑體" w:hAnsi="微軟正黑體" w:cs="微軟正黑體"/>
          <w:color w:val="262626"/>
          <w:sz w:val="22"/>
          <w:szCs w:val="22"/>
        </w:rPr>
        <w:t>這座既能</w:t>
      </w:r>
      <w:proofErr w:type="gramEnd"/>
      <w:r>
        <w:rPr>
          <w:rFonts w:ascii="微軟正黑體" w:eastAsia="微軟正黑體" w:hAnsi="微軟正黑體" w:cs="微軟正黑體"/>
          <w:color w:val="262626"/>
          <w:sz w:val="22"/>
          <w:szCs w:val="22"/>
        </w:rPr>
        <w:t>容納本土藝術、同時開啟國際視野的美術館裡，乘載了近40年來諸多藝術家所呈現的作品，並與建築和諧地融合一體，這是當初設計建築的重要理念。感謝高而</w:t>
      </w:r>
      <w:proofErr w:type="gramStart"/>
      <w:r>
        <w:rPr>
          <w:rFonts w:ascii="微軟正黑體" w:eastAsia="微軟正黑體" w:hAnsi="微軟正黑體" w:cs="微軟正黑體"/>
          <w:color w:val="262626"/>
          <w:sz w:val="22"/>
          <w:szCs w:val="22"/>
        </w:rPr>
        <w:t>潘</w:t>
      </w:r>
      <w:proofErr w:type="gramEnd"/>
      <w:r>
        <w:rPr>
          <w:rFonts w:ascii="微軟正黑體" w:eastAsia="微軟正黑體" w:hAnsi="微軟正黑體" w:cs="微軟正黑體"/>
          <w:color w:val="262626"/>
          <w:sz w:val="22"/>
          <w:szCs w:val="22"/>
        </w:rPr>
        <w:t>建築師為臺灣建築史留下重要見證，也由於他的作品而讓藝術更為發光。」</w:t>
      </w:r>
      <w:bookmarkStart w:id="1" w:name="_GoBack"/>
      <w:bookmarkEnd w:id="1"/>
    </w:p>
    <w:sectPr w:rsidR="00D7316D">
      <w:headerReference w:type="default" r:id="rId11"/>
      <w:footerReference w:type="default" r:id="rId12"/>
      <w:pgSz w:w="11906" w:h="16838"/>
      <w:pgMar w:top="1418" w:right="1274" w:bottom="1418" w:left="1418" w:header="567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5457F" w:rsidRDefault="00A5457F">
      <w:r>
        <w:separator/>
      </w:r>
    </w:p>
  </w:endnote>
  <w:endnote w:type="continuationSeparator" w:id="0">
    <w:p w:rsidR="00A5457F" w:rsidRDefault="00A545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7316D" w:rsidRDefault="00BA790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color w:val="000000"/>
        <w:sz w:val="20"/>
        <w:szCs w:val="20"/>
      </w:rPr>
      <w:fldChar w:fldCharType="begin"/>
    </w:r>
    <w:r>
      <w:rPr>
        <w:rFonts w:ascii="Times New Roman" w:eastAsia="Times New Roman" w:hAnsi="Times New Roman" w:cs="Times New Roman"/>
        <w:color w:val="000000"/>
        <w:sz w:val="20"/>
        <w:szCs w:val="20"/>
      </w:rPr>
      <w:instrText>PAGE</w:instrText>
    </w:r>
    <w:r>
      <w:rPr>
        <w:rFonts w:ascii="Times New Roman" w:eastAsia="Times New Roman" w:hAnsi="Times New Roman" w:cs="Times New Roman"/>
        <w:color w:val="000000"/>
        <w:sz w:val="20"/>
        <w:szCs w:val="20"/>
      </w:rPr>
      <w:fldChar w:fldCharType="separate"/>
    </w:r>
    <w:r w:rsidR="00AB4EA2">
      <w:rPr>
        <w:rFonts w:ascii="Times New Roman" w:eastAsia="Times New Roman" w:hAnsi="Times New Roman" w:cs="Times New Roman"/>
        <w:noProof/>
        <w:color w:val="000000"/>
        <w:sz w:val="20"/>
        <w:szCs w:val="20"/>
      </w:rPr>
      <w:t>1</w:t>
    </w:r>
    <w:r>
      <w:rPr>
        <w:rFonts w:ascii="Times New Roman" w:eastAsia="Times New Roman" w:hAnsi="Times New Roman" w:cs="Times New Roman"/>
        <w:color w:val="000000"/>
        <w:sz w:val="20"/>
        <w:szCs w:val="20"/>
      </w:rPr>
      <w:fldChar w:fldCharType="end"/>
    </w:r>
    <w:r>
      <w:rPr>
        <w:rFonts w:ascii="Times New Roman" w:eastAsia="Times New Roman" w:hAnsi="Times New Roman" w:cs="Times New Roman"/>
        <w:color w:val="000000"/>
        <w:sz w:val="20"/>
        <w:szCs w:val="20"/>
      </w:rPr>
      <w:t>/2</w:t>
    </w:r>
  </w:p>
  <w:p w:rsidR="00D7316D" w:rsidRDefault="00D7316D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rFonts w:ascii="Times New Roman" w:eastAsia="Times New Roman" w:hAnsi="Times New Roman" w:cs="Times New Roman"/>
        <w:color w:val="000000"/>
        <w:sz w:val="20"/>
        <w:szCs w:val="20"/>
      </w:rPr>
    </w:pPr>
  </w:p>
  <w:p w:rsidR="00D7316D" w:rsidRDefault="00D7316D">
    <w:pPr>
      <w:rPr>
        <w:rFonts w:ascii="Times New Roman" w:eastAsia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5457F" w:rsidRDefault="00A5457F">
      <w:r>
        <w:separator/>
      </w:r>
    </w:p>
  </w:footnote>
  <w:footnote w:type="continuationSeparator" w:id="0">
    <w:p w:rsidR="00A5457F" w:rsidRDefault="00A545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7316D" w:rsidRDefault="00BA7900"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margin">
            <wp:posOffset>4411980</wp:posOffset>
          </wp:positionH>
          <wp:positionV relativeFrom="margin">
            <wp:posOffset>-288924</wp:posOffset>
          </wp:positionV>
          <wp:extent cx="1347470" cy="237490"/>
          <wp:effectExtent l="0" t="0" r="0" b="0"/>
          <wp:wrapSquare wrapText="bothSides" distT="0" distB="0" distL="114300" distR="114300"/>
          <wp:docPr id="6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47470" cy="2374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316D"/>
    <w:rsid w:val="00090217"/>
    <w:rsid w:val="00A5457F"/>
    <w:rsid w:val="00AB4EA2"/>
    <w:rsid w:val="00BA7900"/>
    <w:rsid w:val="00D73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06A1A07-93F3-4A7C-B33A-A5ED40EA2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77348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header"/>
    <w:basedOn w:val="a"/>
    <w:link w:val="a5"/>
    <w:uiPriority w:val="99"/>
    <w:unhideWhenUsed/>
    <w:rsid w:val="00D7734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D77348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D7734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D77348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D7734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D77348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216B2E"/>
    <w:rPr>
      <w:color w:val="0000FF" w:themeColor="hyperlink"/>
      <w:u w:val="single"/>
    </w:rPr>
  </w:style>
  <w:style w:type="character" w:styleId="ab">
    <w:name w:val="annotation reference"/>
    <w:basedOn w:val="a0"/>
    <w:uiPriority w:val="99"/>
    <w:semiHidden/>
    <w:unhideWhenUsed/>
    <w:rsid w:val="002E2F22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2E2F22"/>
  </w:style>
  <w:style w:type="character" w:customStyle="1" w:styleId="ad">
    <w:name w:val="註解文字 字元"/>
    <w:basedOn w:val="a0"/>
    <w:link w:val="ac"/>
    <w:uiPriority w:val="99"/>
    <w:semiHidden/>
    <w:rsid w:val="002E2F22"/>
  </w:style>
  <w:style w:type="paragraph" w:styleId="ae">
    <w:name w:val="annotation subject"/>
    <w:basedOn w:val="ac"/>
    <w:next w:val="ac"/>
    <w:link w:val="af"/>
    <w:uiPriority w:val="99"/>
    <w:semiHidden/>
    <w:unhideWhenUsed/>
    <w:rsid w:val="002E2F22"/>
    <w:rPr>
      <w:b/>
      <w:bCs/>
    </w:rPr>
  </w:style>
  <w:style w:type="character" w:customStyle="1" w:styleId="af">
    <w:name w:val="註解主旨 字元"/>
    <w:basedOn w:val="ad"/>
    <w:link w:val="ae"/>
    <w:uiPriority w:val="99"/>
    <w:semiHidden/>
    <w:rsid w:val="002E2F22"/>
    <w:rPr>
      <w:b/>
      <w:bCs/>
    </w:rPr>
  </w:style>
  <w:style w:type="paragraph" w:customStyle="1" w:styleId="Default">
    <w:name w:val="Default"/>
    <w:rsid w:val="005C57C8"/>
    <w:pPr>
      <w:autoSpaceDE w:val="0"/>
      <w:autoSpaceDN w:val="0"/>
      <w:adjustRightInd w:val="0"/>
    </w:pPr>
    <w:rPr>
      <w:rFonts w:ascii="新細明體" w:eastAsia="新細明體" w:cs="新細明體"/>
      <w:color w:val="000000"/>
    </w:rPr>
  </w:style>
  <w:style w:type="paragraph" w:styleId="af0">
    <w:name w:val="List Paragraph"/>
    <w:basedOn w:val="a"/>
    <w:uiPriority w:val="34"/>
    <w:qFormat/>
    <w:rsid w:val="002D4D57"/>
    <w:pPr>
      <w:ind w:leftChars="200" w:left="480"/>
    </w:pPr>
  </w:style>
  <w:style w:type="paragraph" w:styleId="af1">
    <w:name w:val="No Spacing"/>
    <w:uiPriority w:val="1"/>
    <w:qFormat/>
    <w:rsid w:val="00B77FD3"/>
  </w:style>
  <w:style w:type="paragraph" w:styleId="Web">
    <w:name w:val="Normal (Web)"/>
    <w:basedOn w:val="a"/>
    <w:uiPriority w:val="99"/>
    <w:unhideWhenUsed/>
    <w:rsid w:val="00DD65D2"/>
    <w:pPr>
      <w:widowControl/>
      <w:spacing w:before="100" w:beforeAutospacing="1" w:after="100" w:afterAutospacing="1"/>
    </w:pPr>
    <w:rPr>
      <w:rFonts w:ascii="新細明體" w:eastAsia="新細明體" w:hAnsi="新細明體" w:cs="新細明體"/>
    </w:rPr>
  </w:style>
  <w:style w:type="table" w:styleId="af2">
    <w:name w:val="Table Grid"/>
    <w:basedOn w:val="a1"/>
    <w:uiPriority w:val="59"/>
    <w:rsid w:val="00C505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Emphasis"/>
    <w:basedOn w:val="a0"/>
    <w:uiPriority w:val="20"/>
    <w:qFormat/>
    <w:rsid w:val="00423748"/>
    <w:rPr>
      <w:i/>
      <w:iCs/>
    </w:rPr>
  </w:style>
  <w:style w:type="character" w:styleId="af4">
    <w:name w:val="Strong"/>
    <w:basedOn w:val="a0"/>
    <w:uiPriority w:val="22"/>
    <w:qFormat/>
    <w:rsid w:val="00536E2A"/>
    <w:rPr>
      <w:b/>
      <w:bCs/>
    </w:rPr>
  </w:style>
  <w:style w:type="character" w:customStyle="1" w:styleId="10">
    <w:name w:val="未解析的提及項目1"/>
    <w:basedOn w:val="a0"/>
    <w:uiPriority w:val="99"/>
    <w:semiHidden/>
    <w:unhideWhenUsed/>
    <w:rsid w:val="001B03E8"/>
    <w:rPr>
      <w:color w:val="605E5C"/>
      <w:shd w:val="clear" w:color="auto" w:fill="E1DFDD"/>
    </w:rPr>
  </w:style>
  <w:style w:type="paragraph" w:styleId="af5">
    <w:name w:val="Note Heading"/>
    <w:basedOn w:val="a"/>
    <w:next w:val="a"/>
    <w:link w:val="af6"/>
    <w:uiPriority w:val="99"/>
    <w:unhideWhenUsed/>
    <w:rsid w:val="00E43577"/>
    <w:pPr>
      <w:jc w:val="center"/>
    </w:pPr>
    <w:rPr>
      <w:rFonts w:ascii="Times New Roman" w:eastAsia="微軟正黑體" w:hAnsi="Times New Roman" w:cs="Times New Roman"/>
      <w:sz w:val="22"/>
    </w:rPr>
  </w:style>
  <w:style w:type="character" w:customStyle="1" w:styleId="af6">
    <w:name w:val="註釋標題 字元"/>
    <w:basedOn w:val="a0"/>
    <w:link w:val="af5"/>
    <w:uiPriority w:val="99"/>
    <w:rsid w:val="00E43577"/>
    <w:rPr>
      <w:rFonts w:ascii="Times New Roman" w:eastAsia="微軟正黑體" w:hAnsi="Times New Roman" w:cs="Times New Roman"/>
      <w:sz w:val="22"/>
    </w:rPr>
  </w:style>
  <w:style w:type="paragraph" w:styleId="af7">
    <w:name w:val="Closing"/>
    <w:basedOn w:val="a"/>
    <w:link w:val="af8"/>
    <w:uiPriority w:val="99"/>
    <w:unhideWhenUsed/>
    <w:rsid w:val="00E43577"/>
    <w:pPr>
      <w:ind w:leftChars="1800" w:left="100"/>
    </w:pPr>
    <w:rPr>
      <w:rFonts w:ascii="Times New Roman" w:eastAsia="微軟正黑體" w:hAnsi="Times New Roman" w:cs="Times New Roman"/>
      <w:sz w:val="22"/>
    </w:rPr>
  </w:style>
  <w:style w:type="character" w:customStyle="1" w:styleId="af8">
    <w:name w:val="結語 字元"/>
    <w:basedOn w:val="a0"/>
    <w:link w:val="af7"/>
    <w:uiPriority w:val="99"/>
    <w:rsid w:val="00E43577"/>
    <w:rPr>
      <w:rFonts w:ascii="Times New Roman" w:eastAsia="微軟正黑體" w:hAnsi="Times New Roman" w:cs="Times New Roman"/>
      <w:sz w:val="22"/>
    </w:rPr>
  </w:style>
  <w:style w:type="character" w:styleId="af9">
    <w:name w:val="Unresolved Mention"/>
    <w:basedOn w:val="a0"/>
    <w:uiPriority w:val="99"/>
    <w:semiHidden/>
    <w:unhideWhenUsed/>
    <w:rsid w:val="00477037"/>
    <w:rPr>
      <w:color w:val="605E5C"/>
      <w:shd w:val="clear" w:color="auto" w:fill="E1DFDD"/>
    </w:rPr>
  </w:style>
  <w:style w:type="paragraph" w:styleId="afa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b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pliu-fam@gov.taipei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fam.museum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mailto:tckao-tfam@gov.taipei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KSNwYIDxKRPjf7O9JaX43Tj9jZQ==">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262</Words>
  <Characters>1499</Characters>
  <Application>Microsoft Office Word</Application>
  <DocSecurity>0</DocSecurity>
  <Lines>12</Lines>
  <Paragraphs>3</Paragraphs>
  <ScaleCrop>false</ScaleCrop>
  <Company/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李亦晟</dc:creator>
  <cp:lastModifiedBy>廖家誠</cp:lastModifiedBy>
  <cp:revision>3</cp:revision>
  <dcterms:created xsi:type="dcterms:W3CDTF">2021-12-21T05:28:00Z</dcterms:created>
  <dcterms:modified xsi:type="dcterms:W3CDTF">2023-01-07T05:42:00Z</dcterms:modified>
</cp:coreProperties>
</file>