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0"/>
              <w:szCs w:val="20"/>
              <w:rtl w:val="0"/>
            </w:rPr>
            <w:t xml:space="preserve">臺北市立美術館新聞稿</w:t>
          </w:r>
        </w:sdtContent>
      </w:sdt>
    </w:p>
    <w:tbl>
      <w:tblPr>
        <w:tblStyle w:val="Table1"/>
        <w:tblW w:w="10006.0" w:type="dxa"/>
        <w:jc w:val="left"/>
        <w:tblInd w:w="-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28"/>
        <w:gridCol w:w="5378"/>
        <w:tblGridChange w:id="0">
          <w:tblGrid>
            <w:gridCol w:w="4628"/>
            <w:gridCol w:w="5378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發稿單位：行銷推廣組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官方網頁：http://www.tfam.museum/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發稿日期：2022.09.07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FB粉絲專頁：臺北市立美術館Taipei Fine Arts Museum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新聞聯絡人：修天容02-2595-7656分機112，</w:t>
            </w: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daisy.s-tfam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@mail.taipei.gov.tw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5535295</wp:posOffset>
                  </wp:positionH>
                  <wp:positionV relativeFrom="paragraph">
                    <wp:posOffset>105410</wp:posOffset>
                  </wp:positionV>
                  <wp:extent cx="990600" cy="990600"/>
                  <wp:effectExtent b="0" l="0" r="0" t="0"/>
                  <wp:wrapNone/>
                  <wp:docPr id="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      高子衿 02-2595-7656分機110，</w:t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tckao-tfam@mail.taipei.gov.tw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gjdgxs" w:id="0"/>
      <w:bookmarkEnd w:id="0"/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0"/>
              <w:szCs w:val="20"/>
              <w:rtl w:val="0"/>
            </w:rPr>
            <w:t xml:space="preserve">在夾縫中行走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展期：2022.09.08-2023.01.08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地點：臺北市立美術館 2A、2B展覽室                                                                                                                    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媒體資料下載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  <w:drawing>
          <wp:inline distB="0" distT="0" distL="0" distR="0">
            <wp:extent cx="6560676" cy="2441401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0676" cy="24414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「在夾縫中行走」</w:t>
          </w:r>
        </w:sdtContent>
      </w:sdt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當代生存境況的隱喻，線性的多重漫遊</w:t>
          </w:r>
        </w:sdtContent>
      </w:sdt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「在夾縫中行走」自2022年09月08日至2023年01月08日於臺北市立美術館二樓展出，由館內資深策展人張芳薇策劃，邀集1960年代以降，28組橫跨數個世代的臺灣與國際藝術家，也與國立臺灣美術館、國立歷史博物館、奇美博物館、韓國國立現代美術館、私人機構與藏家合作借件，展出媒材形式多元，包含平面繪畫、實驗水墨、動力裝置、行為表演、雕塑、錄像及相關文物等作品，打開與觀眾多重層次的對話，同時邀請文化研究學者李立鈞以圖像理論、文化史與哲學視角，發展一系列圖文來回應展題，繼而延展研究思路與作品之間對話，本展更試圖將觀看與閱讀的路徑融合成「行走中的展覽」體驗。</w:t>
          </w:r>
        </w:sdtContent>
      </w:sdt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2"/>
              <w:szCs w:val="22"/>
              <w:rtl w:val="0"/>
            </w:rPr>
            <w:t xml:space="preserve">展覽以「行走」作為起式，以「夾縫」隱喻當代舉步維艱的生存狀態，並希冀以「在夾縫中行走」探索可能的解決之道。「行」除了步行，更有行事、行動的意義，人們藉此交織出城市與歷史文化的複雜紋理。我們常說「走入／走出歷史」、「走入／走出夢中」，行走涉及真實、虛幻與夢境；我們也常說「找路」或「尋道」，將日常的行走比喻為生活或人生目標的追尋。萬物的縫隙裡，存在著許多可能性，展題中「夾縫」具有雙重意涵，指涉的不只是步行的空間經驗，亦具有壓迫性、難以前行卻不得不行之意，同時也提示人們總是行走於事物「之間」，在此所產生的隱形「距離」，能使人前行或溝通、連結或互動，繼而暗示面對困境創新突破的思維與可能性。</w:t>
          </w:r>
        </w:sdtContent>
      </w:sdt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人類的生活起於行走，並發展語言溝通彼此，經由語言文字的演變，城市與文化的發展因而擁有了豐富的意象。法國文化學者德．塞杜（Michel de Certeau）於探討城市步行時曾提到：「步行行為之於城市系統就像言語行為之於語言或說出的陳述。」步行之於城市紋理的編造，就如言說行為之於所言。行走（的行為與意象）產生了路徑，或是「捷徑」、或是「繞道」。各式各樣行走的路徑所形成的「線」，彼此平行、交集，或是編織成面，進而形成「網絡」，這些「線」條概念以對話與連結的方式於各個展間召喚觀者想像與辯證。</w:t>
          </w:r>
        </w:sdtContent>
      </w:sdt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本展精選北美館重要館藏品展出，以</w:t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盧奇歐．封塔納（Lucio Fontana）</w:t>
          </w:r>
        </w:sdtContent>
      </w:sdt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60年代的作品《空間概念》來破題，劃開畫布的兩道線將二度空間的平面繪畫具體化為三度空間，開啟觀者對於「之間」的想像；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石晉華</w:t>
          </w:r>
        </w:sdtContent>
      </w:sdt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超過20年的生命歷程所完成鉛筆畫線的行為表演紀錄館藏品《走鉛筆的人》(1996-2015)，經過無數次重疊的時間與線條所組成的畫面，成為生命與藝術之間雙重的「疊影」。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白雙全</w:t>
          </w:r>
        </w:sdtContent>
      </w:sdt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《台北手記：2011.11.19-2011.11.28》中，以日記形式書寫的生機活潑的短句，並將段落性文字分散及隱藏於展場角落，邀請觀者漫步的同時，尋找文字之間賦予心靈的力量。</w:t>
          </w:r>
        </w:sdtContent>
      </w:sdt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30j0zll" w:id="1"/>
      <w:bookmarkEnd w:id="1"/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2"/>
              <w:szCs w:val="22"/>
              <w:rtl w:val="0"/>
            </w:rPr>
            <w:t xml:space="preserve">同時邀請國際重要卻鮮少來臺展出之作品，如</w:t>
          </w:r>
        </w:sdtContent>
      </w:sdt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2"/>
              <w:szCs w:val="22"/>
              <w:rtl w:val="0"/>
            </w:rPr>
            <w:t xml:space="preserve">奧馬．菲斯特（Omer Fast）</w:t>
          </w:r>
        </w:sdtContent>
      </w:sdt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2"/>
              <w:szCs w:val="22"/>
              <w:rtl w:val="0"/>
            </w:rPr>
            <w:t xml:space="preserve">於2012年第13屆卡塞爾文件展之作品《連續性》，以超現實、虛構的敘述，闡述戰爭記憶所帶來的噩夢及痛苦，同時回應現下面對戰爭</w:t>
          </w:r>
        </w:sdtContent>
      </w:sdt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之間的心境。</w:t>
          </w:r>
        </w:sdtContent>
      </w:sdt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2"/>
          <w:szCs w:val="22"/>
          <w:rtl w:val="0"/>
        </w:rPr>
        <w:t xml:space="preserve">珍妮．安東尼（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Janine Antoni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2"/>
          <w:szCs w:val="22"/>
          <w:rtl w:val="0"/>
        </w:rPr>
        <w:t xml:space="preserve">）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2002</w:t>
      </w:r>
      <w:r w:rsidDel="00000000" w:rsidR="00000000" w:rsidRPr="00000000">
        <w:rPr>
          <w:rFonts w:ascii="Microsoft JhengHei" w:cs="Microsoft JhengHei" w:eastAsia="Microsoft JhengHei" w:hAnsi="Microsoft JhengHei"/>
          <w:sz w:val="22"/>
          <w:szCs w:val="22"/>
          <w:rtl w:val="0"/>
        </w:rPr>
        <w:t xml:space="preserve">年的錄像作品《觸碰》，隨著藝術家在鋼索上走動，不時觸碰遠方地平線的行為，想像著行走在目光所及且難以到達之處</w:t>
      </w: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；</w:t>
          </w:r>
        </w:sdtContent>
      </w:sdt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2"/>
              <w:szCs w:val="22"/>
              <w:rtl w:val="0"/>
            </w:rPr>
            <w:t xml:space="preserve">莫娜．哈同（Mona Hatoum）</w:t>
          </w:r>
        </w:sdtContent>
      </w:sdt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80年代著名的行為藝術紀錄影片《行路》，身體的前行與靴子的跟隨，暗喻南倫敦布里斯頓街頭因種族問題而長年壟罩沉重陰影；</w:t>
          </w:r>
        </w:sdtContent>
      </w:sdt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2"/>
              <w:szCs w:val="22"/>
              <w:rtl w:val="0"/>
            </w:rPr>
            <w:t xml:space="preserve">高松次郎(Jiro Takamatsu)</w:t>
          </w:r>
        </w:sdtContent>
      </w:sdt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 是亞洲60-70年代行為藝術先驅，他以影子繪畫受到高度關注。有光即有影，而影子畫上不在場的投影對象與觀者形成有趣的關係，引起觀者對生命本質、圖像與空間的多重探問；而著名藝術家</w:t>
          </w:r>
        </w:sdtContent>
      </w:sdt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2"/>
              <w:szCs w:val="22"/>
              <w:rtl w:val="0"/>
            </w:rPr>
            <w:t xml:space="preserve">威廉．肯特里奇（William Kentridge）</w:t>
          </w:r>
        </w:sdtContent>
      </w:sdt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在90年代《影子列隊》中，以列隊行走的人群剪影輔以嘹亮的古典音樂，展現歷史上南非種族衝突與階級問題的百態，作品將帶領觀者經歷由「地平線」到「山脊線」的垂直旅程，展開對展覽相對宏觀的敘事。</w:t>
          </w:r>
        </w:sdtContent>
      </w:sdt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臺灣跨世代的作品亦於本次展出，旅居日本數十載的</w:t>
          </w:r>
        </w:sdtContent>
      </w:sdt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何德來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在《五十五首歌》一作中，將自身歷程寫成五十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餘</w:t>
          </w:r>
        </w:sdtContent>
      </w:sdt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首短歌（和歌），再以特殊的構圖引歌入畫，繪寫為一幅探討文字與繪畫關係的敘事畫；「東方畫會」成員之一的</w:t>
          </w:r>
        </w:sdtContent>
      </w:sdt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陳昭宏</w:t>
          </w:r>
        </w:sdtContent>
      </w:sdt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則展出極具開創性的系列繪畫，數件用色鮮明的作品貫穿整個展覽，融合當代寫實的筆法與東方餘白似的構圖，描繪行走、對話與互動等主題所隱含「之間」的概念。年輕世代的</w:t>
          </w:r>
        </w:sdtContent>
      </w:sdt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劉瀚之</w:t>
          </w:r>
        </w:sdtContent>
      </w:sdt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運用低科技機械零件、手繪文件裝置製成充滿哲思的作品，展開對生命與時間本質純粹的思考。</w:t>
          </w:r>
        </w:sdtContent>
      </w:sdt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「在夾縫中行走」所形成的「線」與「網絡」，也將是本展覽連結藝術與日常生活、作者與觀者、作品與空間的方式，讓展覽的觀看與閱讀聯通成一個週而復始的循環，寓意宇宙與事物生滅消長的輪迴。本展最後一個展區，試圖加入歷史文物同臺展出，如元朝龍泉窯系之作品《冰裂紋青瓷小盤》，釉面開片形成縱橫交織的紋路；清朝的《勾勒填粉彩花卉鋦瓷圓盤》，展示盤面具有璺裂後修補之痕跡、非洲及智利的鐵鎳合金隕石、義大利約1800年的低音管樂器《蛇形號》與陶藝等文物展出，與英國團體</w:t>
          </w:r>
        </w:sdtContent>
      </w:sdt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「耳石小組」（The Otolith Group）</w:t>
          </w:r>
        </w:sdtContent>
      </w:sdt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探討科技與人類關係的錄像影片《詛咒》並置，及</w:t>
          </w:r>
        </w:sdtContent>
      </w:sdt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洪東祿</w:t>
          </w:r>
        </w:sdtContent>
      </w:sdt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以易經卦象內涵為題的《地火明夷》，輾轉釋出黑暗時期仍須為內心明亮的意圖。此區概念與宇宙的生成、發展及消亡等生滅循環、生生不息的宇宙生命本質有關，並以隱約的方式探問人類進步的概念，線性裂紋在展覽中指涉不可預知的變化，鋦瓷修復線則試圖向觀眾提問「修復」的真正本質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展期間將舉辦多場藝術漫遊活動，並特別延伸</w:t>
          </w:r>
        </w:sdtContent>
      </w:sdt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白雙全</w:t>
          </w:r>
        </w:sdtContent>
      </w:sdt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的創作計畫，舉辦5場臺灣限定的《谷之旅》系列臺北實驗工作坊，邀請觀眾以另類的觀看方式，走入書本兩頁之間的夾縫中旅行，將實驗性的路線於展期間蔓延發展，進行身體與心靈的「步行」。同時亦將規劃互動式的演出，如</w:t>
          </w:r>
        </w:sdtContent>
      </w:sdt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劉玗</w:t>
          </w:r>
        </w:sdtContent>
      </w:sdt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最新作品《Field》，借助體感引導者來帶領觀眾在場域中進行感受性的療程，把身體幻化為自然；亦可觀賞</w:t>
          </w:r>
        </w:sdtContent>
      </w:sdt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倪灝</w:t>
          </w:r>
        </w:sdtContent>
      </w:sdt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實驗性作品《結構研究Ｉ》，以複雜的裝置與音樂表演呈現科技體制與生活的矛盾，詩性的雕塑潛藏無形的暴力。</w:t>
          </w:r>
        </w:sdtContent>
      </w:sdt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sz w:val="22"/>
              <w:szCs w:val="22"/>
              <w:rtl w:val="0"/>
            </w:rPr>
            <w:t xml:space="preserve">相關展覽訊息及活動報名請參見北美館官方網頁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（</w:t>
      </w: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www.tfam.museum）或追蹤北美館臉書粉絲專頁（臺北市立美術館 Taipei Fine Arts Museum）關注。</w:t>
          </w:r>
        </w:sdtContent>
      </w:sdt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參展藝術家：</w:t>
          </w:r>
        </w:sdtContent>
      </w:sdt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王淑鈴、中西夏之 (Natsuyuki Nakanishi)、白雙全、石晉華、耳石小組 (The Otolith Group)、何德來、李華生、周代焌、洪東祿、珍妮．安東尼 (Janine Antoni)、威廉．肯特里奇 (William Kentridge)、郝經芳+王令杰、倪灝、陳昭宏、陳其寬、高松次郎 (Jiro Takamatsu)、彭弘智、崔廣宇、莫娜．哈同 (Mona Hatoum)、黃麗絹、葉世強、奧馬．菲斯特 (Omer Fast)、盧奇歐．封塔納 (Lucio Fontana)、鄧堯鴻、劉玗、劉瀚之、諾米．馬奎茲 (Noemi Marquez)、謝德慶。</w:t>
          </w:r>
        </w:sdtContent>
      </w:sdt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附件</w:t>
          </w:r>
        </w:sdtContent>
      </w:sdt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一、藝術家劉玗《Field》互動式演出:</w:t>
          </w:r>
        </w:sdtContent>
      </w:sdt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此作品採預約方式進行，請容許參與活動的您，暫時放下思考與意識，感受藝術家所想像的體感旅程。</w:t>
          </w:r>
        </w:sdtContent>
      </w:sdt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活動場次時間：演出日期依照北美館官方網站公告為準，該日三場時段11:00、13:00、15:30，每場長達 50 分鐘的旅程。 </w:t>
          </w:r>
        </w:sdtContent>
      </w:sdt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活動地點：北美館二樓204展覽室</w:t>
          </w:r>
        </w:sdtContent>
      </w:sdt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活動詳細注意事項及網路預約資訊：每次僅開放兩週內的場次報名，詳見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北美館官方網頁。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二、藝術家倪灝《結構研究Ｉ》演出</w:t>
          </w:r>
        </w:sdtContent>
      </w:sdt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本活動無需事先報名，將於09/24(六)、10/09(六)、11/05(六)、12/17(六)、01/07(六)，下午15:00-16:00於北美館二樓208展覽室演出。</w:t>
          </w:r>
        </w:sdtContent>
      </w:sdt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MingLiu"/>
  <w:font w:name="Georgia"/>
  <w:font w:name="Times New Roman"/>
  <w:font w:name="Gungsuh"/>
  <w:font w:name="Microsoft JhengHe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5010150</wp:posOffset>
          </wp:positionH>
          <wp:positionV relativeFrom="paragraph">
            <wp:posOffset>-168274</wp:posOffset>
          </wp:positionV>
          <wp:extent cx="1347470" cy="237490"/>
          <wp:effectExtent b="0" l="0" r="0" t="0"/>
          <wp:wrapSquare wrapText="bothSides" distB="0" distT="0" distL="114300" distR="11430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7470" cy="2374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1"/>
    </w:pPr>
    <w:rPr>
      <w:rFonts w:ascii="PMingLiu" w:cs="PMingLiu" w:eastAsia="PMingLiu" w:hAnsi="PMingLiu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F7CC8"/>
    <w:pPr>
      <w:widowControl w:val="0"/>
    </w:pPr>
    <w:rPr>
      <w:kern w:val="2"/>
      <w:szCs w:val="22"/>
    </w:rPr>
  </w:style>
  <w:style w:type="paragraph" w:styleId="2">
    <w:name w:val="heading 2"/>
    <w:basedOn w:val="a"/>
    <w:link w:val="20"/>
    <w:uiPriority w:val="9"/>
    <w:qFormat w:val="1"/>
    <w:rsid w:val="007477EA"/>
    <w:pPr>
      <w:widowControl w:val="1"/>
      <w:spacing w:after="100" w:afterAutospacing="1" w:before="100" w:beforeAutospacing="1"/>
      <w:outlineLvl w:val="1"/>
    </w:pPr>
    <w:rPr>
      <w:rFonts w:ascii="新細明體" w:cs="新細明體" w:eastAsia="新細明體" w:hAnsi="新細明體"/>
      <w:b w:val="1"/>
      <w:bCs w:val="1"/>
      <w:kern w:val="0"/>
      <w:sz w:val="36"/>
      <w:szCs w:val="3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6F7CC8"/>
    <w:rPr>
      <w:color w:val="0563c1" w:themeColor="hyperlink"/>
      <w:u w:val="single"/>
    </w:rPr>
  </w:style>
  <w:style w:type="paragraph" w:styleId="Default" w:customStyle="1">
    <w:name w:val="Default"/>
    <w:rsid w:val="006F7CC8"/>
    <w:pPr>
      <w:widowControl w:val="0"/>
      <w:autoSpaceDE w:val="0"/>
      <w:autoSpaceDN w:val="0"/>
      <w:adjustRightInd w:val="0"/>
    </w:pPr>
    <w:rPr>
      <w:rFonts w:ascii="新細明體" w:cs="新細明體" w:eastAsia="新細明體"/>
      <w:color w:val="000000"/>
    </w:rPr>
  </w:style>
  <w:style w:type="paragraph" w:styleId="a4">
    <w:name w:val="No Spacing"/>
    <w:uiPriority w:val="1"/>
    <w:qFormat w:val="1"/>
    <w:rsid w:val="006F7CC8"/>
    <w:pPr>
      <w:widowControl w:val="0"/>
    </w:pPr>
    <w:rPr>
      <w:kern w:val="2"/>
      <w:szCs w:val="22"/>
    </w:rPr>
  </w:style>
  <w:style w:type="table" w:styleId="a5">
    <w:name w:val="Table Grid"/>
    <w:basedOn w:val="a1"/>
    <w:uiPriority w:val="59"/>
    <w:rsid w:val="006F7CC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cs="Times New Roman" w:hAnsi="Times New Roman"/>
      <w:sz w:val="20"/>
      <w:szCs w:val="20"/>
      <w:bdr w:space="0" w:sz="0" w:val="ni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6">
    <w:name w:val="FollowedHyperlink"/>
    <w:basedOn w:val="a0"/>
    <w:uiPriority w:val="99"/>
    <w:semiHidden w:val="1"/>
    <w:unhideWhenUsed w:val="1"/>
    <w:rsid w:val="006F7CC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 w:val="1"/>
    <w:rsid w:val="006F7CC8"/>
    <w:pPr>
      <w:tabs>
        <w:tab w:val="center" w:pos="4680"/>
        <w:tab w:val="right" w:pos="9360"/>
      </w:tabs>
    </w:pPr>
  </w:style>
  <w:style w:type="character" w:styleId="a8" w:customStyle="1">
    <w:name w:val="頁首 字元"/>
    <w:basedOn w:val="a0"/>
    <w:link w:val="a7"/>
    <w:uiPriority w:val="99"/>
    <w:rsid w:val="006F7CC8"/>
    <w:rPr>
      <w:kern w:val="2"/>
      <w:szCs w:val="22"/>
      <w:lang w:val="en-US"/>
    </w:rPr>
  </w:style>
  <w:style w:type="paragraph" w:styleId="a9">
    <w:name w:val="footer"/>
    <w:basedOn w:val="a"/>
    <w:link w:val="aa"/>
    <w:uiPriority w:val="99"/>
    <w:unhideWhenUsed w:val="1"/>
    <w:rsid w:val="006F7CC8"/>
    <w:pPr>
      <w:tabs>
        <w:tab w:val="center" w:pos="4680"/>
        <w:tab w:val="right" w:pos="9360"/>
      </w:tabs>
    </w:pPr>
  </w:style>
  <w:style w:type="character" w:styleId="aa" w:customStyle="1">
    <w:name w:val="頁尾 字元"/>
    <w:basedOn w:val="a0"/>
    <w:link w:val="a9"/>
    <w:uiPriority w:val="99"/>
    <w:rsid w:val="006F7CC8"/>
    <w:rPr>
      <w:kern w:val="2"/>
      <w:szCs w:val="22"/>
      <w:lang w:val="en-US"/>
    </w:rPr>
  </w:style>
  <w:style w:type="paragraph" w:styleId="HTML">
    <w:name w:val="HTML Preformatted"/>
    <w:basedOn w:val="a"/>
    <w:link w:val="HTML0"/>
    <w:uiPriority w:val="99"/>
    <w:semiHidden w:val="1"/>
    <w:unhideWhenUsed w:val="1"/>
    <w:rsid w:val="00DB36A5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kern w:val="0"/>
      <w:sz w:val="20"/>
      <w:szCs w:val="20"/>
    </w:rPr>
  </w:style>
  <w:style w:type="character" w:styleId="HTML0" w:customStyle="1">
    <w:name w:val="HTML 預設格式 字元"/>
    <w:basedOn w:val="a0"/>
    <w:link w:val="HTML"/>
    <w:uiPriority w:val="99"/>
    <w:semiHidden w:val="1"/>
    <w:rsid w:val="00DB36A5"/>
    <w:rPr>
      <w:rFonts w:ascii="Courier New" w:cs="Courier New" w:eastAsia="Times New Roman" w:hAnsi="Courier New"/>
      <w:sz w:val="20"/>
      <w:szCs w:val="20"/>
    </w:rPr>
  </w:style>
  <w:style w:type="character" w:styleId="y2iqfc" w:customStyle="1">
    <w:name w:val="y2iqfc"/>
    <w:basedOn w:val="a0"/>
    <w:rsid w:val="00DB36A5"/>
  </w:style>
  <w:style w:type="paragraph" w:styleId="ab">
    <w:name w:val="Revision"/>
    <w:hidden w:val="1"/>
    <w:uiPriority w:val="99"/>
    <w:semiHidden w:val="1"/>
    <w:rsid w:val="00F94090"/>
    <w:rPr>
      <w:kern w:val="2"/>
      <w:szCs w:val="22"/>
    </w:rPr>
  </w:style>
  <w:style w:type="character" w:styleId="m-3597516747996110638msohyperlink" w:customStyle="1">
    <w:name w:val="m_-3597516747996110638msohyperlink"/>
    <w:basedOn w:val="a0"/>
    <w:rsid w:val="00A01632"/>
  </w:style>
  <w:style w:type="character" w:styleId="20" w:customStyle="1">
    <w:name w:val="標題 2 字元"/>
    <w:basedOn w:val="a0"/>
    <w:link w:val="2"/>
    <w:uiPriority w:val="9"/>
    <w:rsid w:val="007477EA"/>
    <w:rPr>
      <w:rFonts w:ascii="新細明體" w:cs="新細明體" w:eastAsia="新細明體" w:hAnsi="新細明體"/>
      <w:b w:val="1"/>
      <w:bCs w:val="1"/>
      <w:sz w:val="36"/>
      <w:szCs w:val="36"/>
    </w:rPr>
  </w:style>
  <w:style w:type="character" w:styleId="ac">
    <w:name w:val="Unresolved Mention"/>
    <w:basedOn w:val="a0"/>
    <w:uiPriority w:val="99"/>
    <w:semiHidden w:val="1"/>
    <w:unhideWhenUsed w:val="1"/>
    <w:rsid w:val="00E26311"/>
    <w:rPr>
      <w:color w:val="605e5c"/>
      <w:shd w:color="auto" w:fill="e1dfdd" w:val="clear"/>
    </w:rPr>
  </w:style>
  <w:style w:type="paragraph" w:styleId="ad">
    <w:name w:val="List Paragraph"/>
    <w:basedOn w:val="a"/>
    <w:uiPriority w:val="34"/>
    <w:qFormat w:val="1"/>
    <w:rsid w:val="004E3600"/>
    <w:pPr>
      <w:ind w:left="480" w:leftChars="200"/>
    </w:pPr>
  </w:style>
  <w:style w:type="paragraph" w:styleId="Web">
    <w:name w:val="Normal (Web)"/>
    <w:basedOn w:val="a"/>
    <w:uiPriority w:val="99"/>
    <w:unhideWhenUsed w:val="1"/>
    <w:rsid w:val="00012141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  <w:kern w:val="0"/>
      <w:szCs w:val="24"/>
    </w:rPr>
  </w:style>
  <w:style w:type="character" w:styleId="font-small" w:customStyle="1">
    <w:name w:val="font-small"/>
    <w:basedOn w:val="a0"/>
    <w:rsid w:val="00CC60F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9" Type="http://schemas.openxmlformats.org/officeDocument/2006/relationships/hyperlink" Target="mailto:tckao-tfam@mail.taipei.gov.tw%2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ngsw@tfam.gov.tw" TargetMode="External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gf1rPVxzXQhvihEzrTgrFl3/mQ==">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2022-09-02T10:45:00Z</dcterms:created>
  <dc:creator>Microsoft Office User</dc:creator>
</cp:coreProperties>
</file>