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tabs>
          <w:tab w:val="left" w:pos="1380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Gungsuh" w:cs="Gungsuh" w:eastAsia="Gungsuh" w:hAnsi="Gungsuh"/>
              <w:b w:val="1"/>
              <w:sz w:val="20"/>
              <w:szCs w:val="20"/>
              <w:rtl w:val="0"/>
            </w:rPr>
            <w:t xml:space="preserve">「感性機器：後資本主義時代的自我療癒」媒體圖說對照表</w:t>
          </w:r>
        </w:sdtContent>
      </w:sdt>
    </w:p>
    <w:p w:rsidR="00000000" w:rsidDel="00000000" w:rsidP="00000000" w:rsidRDefault="00000000" w:rsidRPr="00000000" w14:paraId="00000002">
      <w:pPr>
        <w:spacing w:line="276" w:lineRule="auto"/>
        <w:jc w:val="center"/>
        <w:rPr>
          <w:rFonts w:ascii="Cambria" w:cs="Cambria" w:eastAsia="Cambria" w:hAnsi="Cambria"/>
          <w:b w:val="1"/>
          <w:sz w:val="22"/>
          <w:szCs w:val="22"/>
        </w:rPr>
      </w:pPr>
      <w:r w:rsidDel="00000000" w:rsidR="00000000" w:rsidRPr="00000000">
        <w:rPr>
          <w:rFonts w:ascii="Cambria" w:cs="Cambria" w:eastAsia="Cambria" w:hAnsi="Cambria"/>
          <w:b w:val="1"/>
          <w:sz w:val="22"/>
          <w:szCs w:val="22"/>
          <w:rtl w:val="0"/>
        </w:rPr>
        <w:t xml:space="preserve">Affect Machine: Self-healing in the Post-Capitalist Era | Image Sheet</w:t>
      </w:r>
    </w:p>
    <w:p w:rsidR="00000000" w:rsidDel="00000000" w:rsidP="00000000" w:rsidRDefault="00000000" w:rsidRPr="00000000" w14:paraId="00000003">
      <w:pPr>
        <w:tabs>
          <w:tab w:val="left" w:pos="1380"/>
        </w:tabs>
        <w:jc w:val="center"/>
        <w:rPr>
          <w:rFonts w:ascii="Times New Roman" w:cs="Times New Roman" w:eastAsia="Times New Roman" w:hAnsi="Times New Roman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24.0" w:type="dxa"/>
        <w:jc w:val="left"/>
        <w:tblInd w:w="0.0" w:type="dxa"/>
        <w:tblBorders>
          <w:top w:color="000000" w:space="0" w:sz="4" w:val="dotted"/>
          <w:left w:color="000000" w:space="0" w:sz="0" w:val="nil"/>
          <w:bottom w:color="000000" w:space="0" w:sz="4" w:val="dotted"/>
          <w:right w:color="000000" w:space="0" w:sz="0" w:val="nil"/>
          <w:insideH w:color="000000" w:space="0" w:sz="4" w:val="dotted"/>
          <w:insideV w:color="000000" w:space="0" w:sz="0" w:val="nil"/>
        </w:tblBorders>
        <w:tblLayout w:type="fixed"/>
        <w:tblLook w:val="0400"/>
      </w:tblPr>
      <w:tblGrid>
        <w:gridCol w:w="4928"/>
        <w:gridCol w:w="5596"/>
        <w:tblGridChange w:id="0">
          <w:tblGrid>
            <w:gridCol w:w="4928"/>
            <w:gridCol w:w="55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298" w:right="0" w:firstLine="0"/>
              <w:jc w:val="center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圖說</w:t>
                </w:r>
              </w:sdtContent>
            </w:sdt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5">
            <w:pPr>
              <w:ind w:right="88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0"/>
                    <w:szCs w:val="20"/>
                    <w:rtl w:val="0"/>
                  </w:rPr>
                  <w:t xml:space="preserve">影像</w:t>
                </w:r>
              </w:sdtContent>
            </w:sdt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「感性機器：後資本主義時代的自我療癒」主視覺。臺北市立美術館提供。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Affect Machine: Self-healing in the Post-Capitalist Era 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Courtesy of Taipei Fine Arts Museum.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A">
            <w:pPr>
              <w:ind w:left="734" w:right="880" w:firstLine="0"/>
              <w:rPr>
                <w:rFonts w:ascii="Times New Roman" w:cs="Times New Roman" w:eastAsia="Times New Roman" w:hAnsi="Times New Roman"/>
                <w:sz w:val="22"/>
                <w:szCs w:val="22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2"/>
                <w:szCs w:val="22"/>
              </w:rPr>
              <w:drawing>
                <wp:inline distB="0" distT="0" distL="0" distR="0">
                  <wp:extent cx="2650429" cy="1769421"/>
                  <wp:effectExtent b="0" l="0" r="0" t="0"/>
                  <wp:docPr id="24" name="image13.jpg"/>
                  <a:graphic>
                    <a:graphicData uri="http://schemas.openxmlformats.org/drawingml/2006/picture">
                      <pic:pic>
                        <pic:nvPicPr>
                          <pic:cNvPr id="0" name="image1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429" cy="176942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雷貝嘉．霍恩，《行為2》行為紀錄影像選段《鉛筆面具》，1972，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16釐米影像轉DVD，彩色，有聲。圖像由藝術家提供。作品鳴謝霍恩藝術家文獻庫。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Rebecca Horn, excerpts from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Performances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Pencil Mask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1972, film still from Performances II, 16mm film transferred to video, colour, sound. Courtesy of the artist. 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©Archive Rebecca Horn.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E">
            <w:pPr>
              <w:ind w:left="734" w:right="880" w:firstLine="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0" distT="0" distL="0" distR="0">
                  <wp:extent cx="2619457" cy="1877000"/>
                  <wp:effectExtent b="0" l="0" r="0" t="0"/>
                  <wp:docPr id="27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57" cy="187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雷貝嘉．霍恩，《行為2》行為紀錄影像選段《雞羽毛面具》，1973，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16釐米影像轉DVD，彩色，有聲。英國倫敦泰德現代美術館典藏。圖像由藝術家與臺北市立美術館提供。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Rebecca Horn, excerpts from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Performances 2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Cockfeather Mask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1973, film still from Performances II, 16mm film transferred to video, colour, sound. Collection of Tate Modern in London. Courtesy of the artist and Taipei Fine Arts Museum.</w:t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3">
            <w:pPr>
              <w:ind w:left="734" w:right="880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0" distT="0" distL="0" distR="0">
                  <wp:extent cx="2631729" cy="1751316"/>
                  <wp:effectExtent b="0" l="0" r="0" t="0"/>
                  <wp:docPr id="26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1729" cy="175131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雷貝嘉．霍恩，《陽光之嘆》，2006，小提琴、玻璃、馬達、鋼、電器、色粉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，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68×44×78.5公分。圖像由藝術家與臺北市立美術館提供。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Rebecca Horn,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Der Sonnenseufzer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(Sigh of Sun)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2006, violin, glass, motor, steel, electronics, yellow pigment, flame-worked glass. 68×44×78.5 cm. Courtesy of the artist and Taipei Fine Arts Museum.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ind w:left="734" w:right="880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0" distT="0" distL="0" distR="0">
                  <wp:extent cx="2659872" cy="1770044"/>
                  <wp:effectExtent b="0" l="0" r="0" t="0"/>
                  <wp:docPr id="29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9872" cy="177004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5-1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陳慧嶠，《床外的藍天》，2018，混合媒材（針線、行軍床、毛巾電繡、臉盆、鋼杯、牙膏、牙刷、肥皂盒），共16件，每件尺寸為 90×200×140公分。圖像由藝術家與臺北市立美術館提供。</w:t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Chen Hui-Chiao,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Room with a View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2018, mixed mediums (needles, thread, military cots, embroidered towels, basins, toothbrushes, toothpaste, steel cups), 16 Pieces, 90×200×140cm each. Courtesy of the artist and Taipei Fine Arts Museum.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E">
            <w:pPr>
              <w:ind w:left="734" w:right="880" w:firstLine="187.99999999999997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0" distT="0" distL="0" distR="0">
                  <wp:extent cx="2846128" cy="1897242"/>
                  <wp:effectExtent b="0" l="0" r="0" t="0"/>
                  <wp:docPr id="28" name="image16.jpg"/>
                  <a:graphic>
                    <a:graphicData uri="http://schemas.openxmlformats.org/drawingml/2006/picture">
                      <pic:pic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128" cy="189724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5-2</w:t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陳慧嶠，《床外的藍天》（局部），2018，混合媒材（針線、行軍床、毛巾電繡、臉盆、鋼杯、牙膏、牙刷、肥皂盒），共16件，每件尺寸為 90×200×140公分。圖像由藝術家與臺北市立美術館提供。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Chen Hui-Chiao,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 Room with a View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(partial), 2018, mixed mediums (needles, thread, military cots, embroidered towels, basins, toothbrushes, toothpaste, steel cups), 16 Pieces, 90×200×140cm each. Courtesy of the artist and Taipei Fine Arts Museum.</w:t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4">
            <w:pPr>
              <w:ind w:left="734" w:right="880" w:firstLine="187.99999999999997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ind w:left="734" w:right="880" w:firstLine="187.99999999999997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0" distT="0" distL="0" distR="0">
                  <wp:extent cx="2907133" cy="1937908"/>
                  <wp:effectExtent b="0" l="0" r="0" t="0"/>
                  <wp:docPr id="3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133" cy="19379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6-1、6-2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陳呈毓，《舒緩震盪》，2021，混合媒材（鐵架、鋼管、雕塑、發泡劑、矽膠、樹脂、明膠、羊皮、震動器、織品）、雙頻道錄像，60分鐘，尺寸視空間而定。表演者：LazyMiu.ASMR。圖像由藝術家與臺北市立美術館提供。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Chen Chen Yu,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Here Each Vibration Long Away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2021, mixed mediums (iron structure, sculptures, expanded PU foam, silicone rubber, resin, hide glue, goat skin, exciters, textile), 2-channel video, 60 minutes, dimensions variable. Performer: LazyMiu.ASMR,, Courtesy of the artist and Taipei Fine Arts Museum.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B">
            <w:pPr>
              <w:ind w:left="734" w:right="880" w:firstLine="187.99999999999997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0" distT="0" distL="0" distR="0">
                  <wp:extent cx="2755914" cy="1837829"/>
                  <wp:effectExtent b="0" l="0" r="0" t="0"/>
                  <wp:docPr id="30" name="image19.jpg"/>
                  <a:graphic>
                    <a:graphicData uri="http://schemas.openxmlformats.org/drawingml/2006/picture">
                      <pic:pic>
                        <pic:nvPicPr>
                          <pic:cNvPr id="0" name="image19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14" cy="18378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ind w:left="734" w:right="880" w:firstLine="187.99999999999997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  <w:drawing>
                <wp:inline distB="0" distT="0" distL="0" distR="0">
                  <wp:extent cx="2780227" cy="1853312"/>
                  <wp:effectExtent b="0" l="0" r="0" t="0"/>
                  <wp:docPr id="34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227" cy="18533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7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6-3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陳呈毓，《舒緩震盪》（影像截圖），2021，雙頻道錄像，60分鐘。表演者：LazyMiu.ASMR。圖像由藝術家提供。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Chen Chen Yu,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Here Each Vibration Long Away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(Film still), 2021, 2-channel video, 60 minutes. Performer: LazyMiu.ASMR,</w:t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Courtesy of the artist.</w:t>
            </w:r>
          </w:p>
        </w:tc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ind w:left="734" w:right="880" w:firstLine="187.99999999999997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  <w:drawing>
                <wp:inline distB="0" distT="0" distL="0" distR="0">
                  <wp:extent cx="2697257" cy="1518624"/>
                  <wp:effectExtent b="0" l="0" r="0" t="0"/>
                  <wp:docPr id="33" name="image20.jpg"/>
                  <a:graphic>
                    <a:graphicData uri="http://schemas.openxmlformats.org/drawingml/2006/picture">
                      <pic:pic>
                        <pic:nvPicPr>
                          <pic:cNvPr id="0" name="image20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257" cy="15186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7-1</w:t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綠橘，《太初有道》（局部），2020-2021，壓克力箱、5000-6000蠶繭，60×60×15公分。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圖像由藝術家與臺北市立美術館提供。 </w:t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Cam Xanh,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 the Beginning Was the Word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(partial), 2020-2021,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plexiglass box containing 5000-6000 silk cocoons, 60×60×15cm. Courtesy of the artist and Taipei Fine Arts Museum.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ind w:left="257" w:right="880" w:firstLine="62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2901413" cy="1928691"/>
                  <wp:effectExtent b="0" l="0" r="0" t="0"/>
                  <wp:docPr id="37" name="image11.jpg"/>
                  <a:graphic>
                    <a:graphicData uri="http://schemas.openxmlformats.org/drawingml/2006/picture">
                      <pic:pic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413" cy="19286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7-2</w:t>
            </w:r>
          </w:p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綠橘，《資訊—人類基因之IXX染色體段落，上帝發布神聖計畫…》（局部），2020-2021，壓克力板浮雕，60×60×3公分。</w:t>
            </w:r>
          </w:p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圖像由藝術家與臺北市立美術館提供。 </w:t>
              <w:br w:type="textWrapping"/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Cam Xanh,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Information — and in the Human Genome, Chromosomes Chapter IXX, the Lord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speaks to us of His divine plan, saying…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(partial), 2020-2021,engraved plexiglass, 60×60×3cm. Courtesy of the artist and Taipei Fine Arts Museum.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ind w:left="257" w:right="880" w:firstLine="620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0" distT="0" distL="0" distR="0">
                  <wp:extent cx="2878021" cy="1918287"/>
                  <wp:effectExtent b="0" l="0" r="0" t="0"/>
                  <wp:docPr id="3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8021" cy="19182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8-1</w:t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約翰．亞康法，《機場》，2016，三頻道錄像裝置，7.1聲道，53分鐘。圖像由藝術家與臺北市立美術館提供。 </w:t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John Akomfrah,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Airport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2016, three channel HD colour video installation, 7.1 sound, 53 minutes. Courtesy of the artist and Taipei Fine Arts Museum.</w:t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ind w:left="540" w:right="880" w:firstLine="382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768507" cy="1845671"/>
                  <wp:effectExtent b="0" l="0" r="0" t="0"/>
                  <wp:docPr id="36" name="image15.jpg"/>
                  <a:graphic>
                    <a:graphicData uri="http://schemas.openxmlformats.org/drawingml/2006/picture">
                      <pic:pic>
                        <pic:nvPicPr>
                          <pic:cNvPr id="0" name="image15.jp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8507" cy="18456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ind w:right="88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8-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約翰．亞康法，《機場》（影像截圖），2016，三頻道錄像裝置，7.1聲道，53分鐘。© Smoking Dogs Films，圖像由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Smoking Dogs Films和里森畫廊提供。 </w:t>
            </w:r>
          </w:p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John Akomfrah,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The Airport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(Film still), 2016, three channel HD colour video installation, 7.1 sound, 53 minutes.© Smoking Dogs Films; Courtesy of Smoking Dogs Films and Lisson Gallery.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ind w:left="540" w:right="880" w:firstLine="318"/>
              <w:jc w:val="center"/>
              <w:rPr/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sz w:val="20"/>
                <w:szCs w:val="20"/>
              </w:rPr>
              <w:drawing>
                <wp:inline distB="0" distT="0" distL="0" distR="0">
                  <wp:extent cx="2709214" cy="1765787"/>
                  <wp:effectExtent b="0" l="0" r="0" t="0"/>
                  <wp:docPr id="38" name="image17.jpg"/>
                  <a:graphic>
                    <a:graphicData uri="http://schemas.openxmlformats.org/drawingml/2006/picture">
                      <pic:pic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9214" cy="17657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9-1、9-2</w:t>
            </w:r>
          </w:p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奧拉弗．埃利亞松，《指北針家族》，2013，不銹鋼、木頭、磁鐵、顏料，共三件（直徑各為61×30公分，193×50.5公分，90公分）。圖像由藝術家與臺北市立美術館提供。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Olafur Eliasson,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Compass family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2013, Stainless steel, wood, magnets, paint, 61×30cm, 193×50.5cm, 90cm in diameter. Courtesy of the artist and Taipei Fine Arts Museum.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ind w:left="965" w:right="880" w:hanging="105.99999999999994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  <w:drawing>
                <wp:inline distB="0" distT="0" distL="0" distR="0">
                  <wp:extent cx="2132331" cy="2776802"/>
                  <wp:effectExtent b="0" l="0" r="0" t="0"/>
                  <wp:docPr id="39" name="image18.jpg"/>
                  <a:graphic>
                    <a:graphicData uri="http://schemas.openxmlformats.org/drawingml/2006/picture">
                      <pic:pic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331" cy="277680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803275</wp:posOffset>
                  </wp:positionH>
                  <wp:positionV relativeFrom="paragraph">
                    <wp:posOffset>2922270</wp:posOffset>
                  </wp:positionV>
                  <wp:extent cx="1860550" cy="2790190"/>
                  <wp:effectExtent b="0" l="0" r="0" t="0"/>
                  <wp:wrapSquare wrapText="bothSides" distB="0" distT="0" distL="114300" distR="114300"/>
                  <wp:docPr id="25" name="image14.jpg"/>
                  <a:graphic>
                    <a:graphicData uri="http://schemas.openxmlformats.org/drawingml/2006/picture">
                      <pic:pic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27901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51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ind w:right="880" w:firstLine="100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ind w:right="880"/>
              <w:rPr>
                <w:rFonts w:ascii="Times New Roman" w:cs="Times New Roman" w:eastAsia="Times New Roman" w:hAnsi="Times New Roman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ind w:right="880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10-1</w:t>
            </w:r>
          </w:p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朱浩培/李長明，《菩提與榕之下》，2018，混合媒材（過期膠卷及數位輸出、壓克力板、鋁板、文件），尺寸視空間而定。圖像由藝術家與臺北市立美術館提供。 </w:t>
            </w:r>
          </w:p>
          <w:p w:rsidR="00000000" w:rsidDel="00000000" w:rsidP="00000000" w:rsidRDefault="00000000" w:rsidRPr="00000000" w14:paraId="00000060">
            <w:pPr>
              <w:ind w:left="426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Chu Hao Pei and Lee Chang Ming,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Beneath the Bodhi and Banyan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2018,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mixed mediums (expired film stock, digital prints, acrylic and aluminium boards, documents), dimensions variable. Courtesy of the artist and Taipei Fine Arts Museum.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ind w:left="540" w:right="880" w:firstLine="317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936108" cy="1957405"/>
                  <wp:effectExtent b="0" l="0" r="0" t="0"/>
                  <wp:docPr id="40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108" cy="19574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ind w:right="880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10-2</w:t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朱浩培/李長明，《菩提與榕之下》（局部），2018，混合媒材（過期膠卷及數位輸出、壓克力板、鋁板、文件），尺寸視空間而定。圖像由藝術家提供。</w:t>
            </w:r>
          </w:p>
          <w:p w:rsidR="00000000" w:rsidDel="00000000" w:rsidP="00000000" w:rsidRDefault="00000000" w:rsidRPr="00000000" w14:paraId="00000066">
            <w:pPr>
              <w:ind w:left="426" w:firstLine="0"/>
              <w:rPr>
                <w:rFonts w:ascii="Microsoft JhengHei" w:cs="Microsoft JhengHei" w:eastAsia="Microsoft JhengHei" w:hAnsi="Microsoft JhengHe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Chu Hao Pei and Lee Chang Ming,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Beneath the Bodhi and Banyan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 (partial), 2018,</w:t>
            </w:r>
            <w:r w:rsidDel="00000000" w:rsidR="00000000" w:rsidRPr="00000000">
              <w:rPr>
                <w:rFonts w:ascii="PMingLiu" w:cs="PMingLiu" w:eastAsia="PMingLiu" w:hAnsi="PMingLiu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mixed  mediums (expired film stock, digital prints, acrylic and aluminium boards, documents), dimensions variable. Courtesy of the artist.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ind w:left="540" w:right="880" w:firstLine="317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796560" cy="1857784"/>
                  <wp:effectExtent b="0" l="0" r="0" t="0"/>
                  <wp:docPr id="41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560" cy="185778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「感性機器：後資本主義時代的自我療癒」展場，2021，圖像由臺北市立美術館提供。</w:t>
            </w:r>
          </w:p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Affect Machine: Self-healing in the Post-Capitalist Era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, 2021. Courtesy of Taipei Fine Arts Museum.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C">
            <w:pPr>
              <w:ind w:left="540" w:right="880" w:firstLine="318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2783529" cy="1852629"/>
                  <wp:effectExtent b="0" l="0" r="0" t="0"/>
                  <wp:docPr id="42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3529" cy="18526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策展團隊林瑀希(左)、臺北市立美術館館長王俊傑(中)、李雨潔(右)合影。©臺北市立美術館</w:t>
            </w:r>
          </w:p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Curatorial team Gladys Lin (M), Director of Taipei Fine Arts Museum Wang Jun-Jieh (L) and Curatorial team Yu-Chieh Li (R). Courtesy of Taipei Fine Arts Museum.</w:t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0">
            <w:pPr>
              <w:ind w:left="540" w:right="880" w:firstLine="318"/>
              <w:jc w:val="center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0"/>
                <w:szCs w:val="20"/>
              </w:rPr>
              <w:drawing>
                <wp:inline distB="0" distT="0" distL="0" distR="0">
                  <wp:extent cx="2745072" cy="1832696"/>
                  <wp:effectExtent b="0" l="0" r="0" t="0"/>
                  <wp:docPr id="43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072" cy="18326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23" w:hRule="atLeast"/>
          <w:tblHeader w:val="0"/>
        </w:trPr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hanging="48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藝術家陳呈毓、藝術家陳慧嶠、臺北市立美術館館長王俊傑、策展團隊林瑀希、李雨潔(左至右)合影。©臺北市立美術館</w:t>
            </w:r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906" w:right="0" w:firstLine="0"/>
              <w:jc w:val="left"/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Microsoft JhengHei" w:cs="Microsoft JhengHei" w:eastAsia="Microsoft JhengHei" w:hAnsi="Microsoft JhengHe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Artist Chen Chen Yu and Chen Hui-Chiao, Director of Taipei Fine Arts Museum Wang Jun-Jieh, Curatorial team Gladys Lin and Yu-Chieh Li (from L to R). Courtesy of Taipei Fine Arts Museum.</w:t>
            </w:r>
          </w:p>
        </w:tc>
        <w:tc>
          <w:tcPr>
            <w:shd w:fill="auto" w:val="clear"/>
            <w:tcMar>
              <w:left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74">
            <w:pPr>
              <w:ind w:left="540" w:right="880" w:firstLine="318"/>
              <w:jc w:val="center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  <w:drawing>
                <wp:inline distB="0" distT="0" distL="0" distR="0">
                  <wp:extent cx="2664932" cy="1939298"/>
                  <wp:effectExtent b="0" l="0" r="0" t="0"/>
                  <wp:docPr id="44" name="image21.jpg"/>
                  <a:graphic>
                    <a:graphicData uri="http://schemas.openxmlformats.org/drawingml/2006/picture">
                      <pic:pic>
                        <pic:nvPicPr>
                          <pic:cNvPr id="0" name="image21.jpg"/>
                          <pic:cNvPicPr preferRelativeResize="0"/>
                        </pic:nvPicPr>
                        <pic:blipFill>
                          <a:blip r:embed="rId26"/>
                          <a:srcRect b="0" l="838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4932" cy="193929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5">
      <w:pPr>
        <w:rPr>
          <w:rFonts w:ascii="Times New Roman" w:cs="Times New Roman" w:eastAsia="Times New Roman" w:hAnsi="Times New Roman"/>
          <w:sz w:val="2"/>
          <w:szCs w:val="2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sectPr>
      <w:headerReference r:id="rId27" w:type="default"/>
      <w:footerReference r:id="rId28" w:type="default"/>
      <w:pgSz w:h="16838" w:w="11906" w:orient="portrait"/>
      <w:pgMar w:bottom="1134" w:top="1134" w:left="1418" w:right="1418" w:header="851" w:footer="99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PMingLiu"/>
  <w:font w:name="Georgia"/>
  <w:font w:name="Times New Roman"/>
  <w:font w:name="Gungsuh"/>
  <w:font w:name="Microsoft JhengHei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7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/4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6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4482465</wp:posOffset>
          </wp:positionH>
          <wp:positionV relativeFrom="paragraph">
            <wp:posOffset>-138429</wp:posOffset>
          </wp:positionV>
          <wp:extent cx="1271270" cy="213360"/>
          <wp:effectExtent b="0" l="0" r="0" t="0"/>
          <wp:wrapSquare wrapText="bothSides" distB="0" distT="0" distL="114300" distR="114300"/>
          <wp:docPr descr="D:\推廣組\推廣組舊檔\圖檔\館徽+中英.tif" id="31" name="image12.png"/>
          <a:graphic>
            <a:graphicData uri="http://schemas.openxmlformats.org/drawingml/2006/picture">
              <pic:pic>
                <pic:nvPicPr>
                  <pic:cNvPr descr="D:\推廣組\推廣組舊檔\圖檔\館徽+中英.tif" id="0" name="image1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1270" cy="21336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906" w:hanging="480.00000000000006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180" w:before="180" w:line="720" w:lineRule="auto"/>
    </w:pPr>
    <w:rPr>
      <w:rFonts w:ascii="Cambria" w:cs="Cambria" w:eastAsia="Cambria" w:hAnsi="Cambria"/>
      <w:b w:val="1"/>
      <w:sz w:val="52"/>
      <w:szCs w:val="52"/>
    </w:rPr>
  </w:style>
  <w:style w:type="paragraph" w:styleId="Heading2">
    <w:name w:val="heading 2"/>
    <w:basedOn w:val="Normal"/>
    <w:next w:val="Normal"/>
    <w:pPr>
      <w:widowControl w:val="1"/>
    </w:pPr>
    <w:rPr>
      <w:rFonts w:ascii="PMingLiu" w:cs="PMingLiu" w:eastAsia="PMingLiu" w:hAnsi="PMingLiu"/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pPr>
      <w:widowControl w:val="0"/>
    </w:pPr>
  </w:style>
  <w:style w:type="paragraph" w:styleId="1">
    <w:name w:val="heading 1"/>
    <w:basedOn w:val="a"/>
    <w:next w:val="a"/>
    <w:link w:val="10"/>
    <w:uiPriority w:val="9"/>
    <w:qFormat w:val="1"/>
    <w:rsid w:val="0060636F"/>
    <w:pPr>
      <w:keepNext w:val="1"/>
      <w:spacing w:after="180" w:before="180" w:line="720" w:lineRule="auto"/>
      <w:outlineLvl w:val="0"/>
    </w:pPr>
    <w:rPr>
      <w:rFonts w:asciiTheme="majorHAnsi" w:cstheme="majorBidi" w:eastAsiaTheme="majorEastAsia" w:hAnsiTheme="majorHAnsi"/>
      <w:b w:val="1"/>
      <w:bCs w:val="1"/>
      <w:kern w:val="52"/>
      <w:sz w:val="52"/>
      <w:szCs w:val="52"/>
    </w:rPr>
  </w:style>
  <w:style w:type="paragraph" w:styleId="2">
    <w:name w:val="heading 2"/>
    <w:basedOn w:val="a"/>
    <w:link w:val="20"/>
    <w:uiPriority w:val="9"/>
    <w:qFormat w:val="1"/>
    <w:rsid w:val="003F0A81"/>
    <w:pPr>
      <w:widowControl w:val="1"/>
      <w:spacing w:after="100" w:afterAutospacing="1" w:before="100" w:beforeAutospacing="1"/>
      <w:outlineLvl w:val="1"/>
    </w:pPr>
    <w:rPr>
      <w:rFonts w:ascii="新細明體" w:cs="新細明體" w:eastAsia="新細明體" w:hAnsi="新細明體"/>
      <w:b w:val="1"/>
      <w:bCs w:val="1"/>
      <w:kern w:val="0"/>
      <w:sz w:val="36"/>
      <w:szCs w:val="36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header"/>
    <w:basedOn w:val="a"/>
    <w:link w:val="a4"/>
    <w:uiPriority w:val="99"/>
    <w:unhideWhenUsed w:val="1"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 w:customStyle="1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 w:val="1"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6" w:customStyle="1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 w:val="1"/>
    <w:unhideWhenUsed w:val="1"/>
    <w:rsid w:val="005550D5"/>
    <w:rPr>
      <w:rFonts w:asciiTheme="majorHAnsi" w:cstheme="majorBidi" w:eastAsiaTheme="majorEastAsia" w:hAnsiTheme="majorHAnsi"/>
      <w:sz w:val="18"/>
      <w:szCs w:val="18"/>
    </w:rPr>
  </w:style>
  <w:style w:type="character" w:styleId="a8" w:customStyle="1">
    <w:name w:val="註解方塊文字 字元"/>
    <w:basedOn w:val="a0"/>
    <w:link w:val="a7"/>
    <w:uiPriority w:val="99"/>
    <w:semiHidden w:val="1"/>
    <w:rsid w:val="005550D5"/>
    <w:rPr>
      <w:rFonts w:asciiTheme="majorHAnsi" w:cstheme="majorBidi" w:eastAsiaTheme="majorEastAsia" w:hAnsiTheme="majorHAnsi"/>
      <w:sz w:val="18"/>
      <w:szCs w:val="18"/>
    </w:rPr>
  </w:style>
  <w:style w:type="paragraph" w:styleId="Default" w:customStyle="1">
    <w:name w:val="Default"/>
    <w:rsid w:val="002D5FC6"/>
    <w:pPr>
      <w:widowControl w:val="0"/>
      <w:autoSpaceDE w:val="0"/>
      <w:autoSpaceDN w:val="0"/>
      <w:adjustRightInd w:val="0"/>
    </w:pPr>
    <w:rPr>
      <w:rFonts w:ascii="新細明體" w:cs="新細明體" w:eastAsia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a">
    <w:name w:val="No Spacing"/>
    <w:uiPriority w:val="1"/>
    <w:qFormat w:val="1"/>
    <w:rsid w:val="00C863C1"/>
    <w:pPr>
      <w:widowControl w:val="0"/>
    </w:pPr>
  </w:style>
  <w:style w:type="character" w:styleId="ab">
    <w:name w:val="Hyperlink"/>
    <w:basedOn w:val="a0"/>
    <w:uiPriority w:val="99"/>
    <w:unhideWhenUsed w:val="1"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 w:val="1"/>
    <w:rsid w:val="00F2521B"/>
    <w:pPr>
      <w:jc w:val="center"/>
    </w:pPr>
    <w:rPr>
      <w:rFonts w:ascii="Garamond" w:cs="Times New Roman" w:eastAsia="微軟正黑體" w:hAnsi="Garamond"/>
      <w:b w:val="1"/>
      <w:bCs w:val="1"/>
      <w:sz w:val="22"/>
    </w:rPr>
  </w:style>
  <w:style w:type="character" w:styleId="ad" w:customStyle="1">
    <w:name w:val="註釋標題 字元"/>
    <w:basedOn w:val="a0"/>
    <w:link w:val="ac"/>
    <w:uiPriority w:val="99"/>
    <w:rsid w:val="00F2521B"/>
    <w:rPr>
      <w:rFonts w:ascii="Garamond" w:cs="Times New Roman" w:eastAsia="微軟正黑體" w:hAnsi="Garamond"/>
      <w:b w:val="1"/>
      <w:bCs w:val="1"/>
      <w:sz w:val="22"/>
    </w:rPr>
  </w:style>
  <w:style w:type="paragraph" w:styleId="ae">
    <w:name w:val="Closing"/>
    <w:basedOn w:val="a"/>
    <w:link w:val="af"/>
    <w:uiPriority w:val="99"/>
    <w:unhideWhenUsed w:val="1"/>
    <w:rsid w:val="00F2521B"/>
    <w:pPr>
      <w:ind w:left="100" w:leftChars="1800"/>
    </w:pPr>
    <w:rPr>
      <w:rFonts w:ascii="Garamond" w:cs="Times New Roman" w:eastAsia="微軟正黑體" w:hAnsi="Garamond"/>
      <w:b w:val="1"/>
      <w:bCs w:val="1"/>
      <w:sz w:val="22"/>
    </w:rPr>
  </w:style>
  <w:style w:type="character" w:styleId="af" w:customStyle="1">
    <w:name w:val="結語 字元"/>
    <w:basedOn w:val="a0"/>
    <w:link w:val="ae"/>
    <w:uiPriority w:val="99"/>
    <w:rsid w:val="00F2521B"/>
    <w:rPr>
      <w:rFonts w:ascii="Garamond" w:cs="Times New Roman" w:eastAsia="微軟正黑體" w:hAnsi="Garamond"/>
      <w:b w:val="1"/>
      <w:bCs w:val="1"/>
      <w:sz w:val="22"/>
    </w:rPr>
  </w:style>
  <w:style w:type="paragraph" w:styleId="af0">
    <w:name w:val="List Paragraph"/>
    <w:basedOn w:val="a"/>
    <w:uiPriority w:val="34"/>
    <w:qFormat w:val="1"/>
    <w:rsid w:val="00954BBA"/>
    <w:pPr>
      <w:widowControl w:val="1"/>
      <w:ind w:left="480" w:leftChars="200"/>
    </w:pPr>
    <w:rPr>
      <w:rFonts w:ascii="新細明體" w:cs="新細明體" w:eastAsia="新細明體" w:hAnsi="新細明體"/>
      <w:kern w:val="0"/>
      <w:szCs w:val="24"/>
    </w:rPr>
  </w:style>
  <w:style w:type="character" w:styleId="20" w:customStyle="1">
    <w:name w:val="標題 2 字元"/>
    <w:basedOn w:val="a0"/>
    <w:link w:val="2"/>
    <w:uiPriority w:val="9"/>
    <w:rsid w:val="003F0A81"/>
    <w:rPr>
      <w:rFonts w:ascii="新細明體" w:cs="新細明體" w:eastAsia="新細明體" w:hAnsi="新細明體"/>
      <w:b w:val="1"/>
      <w:bCs w:val="1"/>
      <w:kern w:val="0"/>
      <w:sz w:val="36"/>
      <w:szCs w:val="36"/>
    </w:rPr>
  </w:style>
  <w:style w:type="character" w:styleId="10" w:customStyle="1">
    <w:name w:val="標題 1 字元"/>
    <w:basedOn w:val="a0"/>
    <w:link w:val="1"/>
    <w:uiPriority w:val="9"/>
    <w:rsid w:val="0060636F"/>
    <w:rPr>
      <w:rFonts w:asciiTheme="majorHAnsi" w:cstheme="majorBidi" w:eastAsiaTheme="majorEastAsia" w:hAnsiTheme="majorHAnsi"/>
      <w:b w:val="1"/>
      <w:bCs w:val="1"/>
      <w:kern w:val="52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jpg"/><Relationship Id="rId22" Type="http://schemas.openxmlformats.org/officeDocument/2006/relationships/image" Target="media/image3.jpg"/><Relationship Id="rId21" Type="http://schemas.openxmlformats.org/officeDocument/2006/relationships/image" Target="media/image14.jpg"/><Relationship Id="rId24" Type="http://schemas.openxmlformats.org/officeDocument/2006/relationships/image" Target="media/image8.jpg"/><Relationship Id="rId23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26" Type="http://schemas.openxmlformats.org/officeDocument/2006/relationships/image" Target="media/image21.jpg"/><Relationship Id="rId25" Type="http://schemas.openxmlformats.org/officeDocument/2006/relationships/image" Target="media/image9.jpg"/><Relationship Id="rId28" Type="http://schemas.openxmlformats.org/officeDocument/2006/relationships/footer" Target="footer1.xml"/><Relationship Id="rId27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3.jpg"/><Relationship Id="rId8" Type="http://schemas.openxmlformats.org/officeDocument/2006/relationships/image" Target="media/image10.jpg"/><Relationship Id="rId11" Type="http://schemas.openxmlformats.org/officeDocument/2006/relationships/image" Target="media/image16.jpg"/><Relationship Id="rId10" Type="http://schemas.openxmlformats.org/officeDocument/2006/relationships/image" Target="media/image5.jpg"/><Relationship Id="rId13" Type="http://schemas.openxmlformats.org/officeDocument/2006/relationships/image" Target="media/image19.jpg"/><Relationship Id="rId12" Type="http://schemas.openxmlformats.org/officeDocument/2006/relationships/image" Target="media/image4.jpg"/><Relationship Id="rId15" Type="http://schemas.openxmlformats.org/officeDocument/2006/relationships/image" Target="media/image20.jpg"/><Relationship Id="rId14" Type="http://schemas.openxmlformats.org/officeDocument/2006/relationships/image" Target="media/image1.jpg"/><Relationship Id="rId17" Type="http://schemas.openxmlformats.org/officeDocument/2006/relationships/image" Target="media/image2.jpg"/><Relationship Id="rId16" Type="http://schemas.openxmlformats.org/officeDocument/2006/relationships/image" Target="media/image11.jpg"/><Relationship Id="rId19" Type="http://schemas.openxmlformats.org/officeDocument/2006/relationships/image" Target="media/image17.jpg"/><Relationship Id="rId18" Type="http://schemas.openxmlformats.org/officeDocument/2006/relationships/image" Target="media/image1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+n0pQii57qnsk52KTeLUuXy//DA==">AMUW2mXXv2w7e1XrK8VpGtJ1Ha+O/TUV33X0bJlVZH0CEq8hgRxvQlXiLiE7ra6YcUgyWhwWkEC3jak53D8hYpZSjz6Uf2jVfqbr1MnF/NxyUrJUxM++i+NULCUykRA93qsmNIw/XUusPR0m3ogS2Hwt/kwv2ybw9MKdVMmnULtgzlAzwUIb8RucKBNqr84ioZa2KKbadPY9D0yHVcQrLuBMcM9YvAvnawxE1Tu/ituz7dBWasBFvHpujfCp6TVu+wVAF8t4OlC06LMSXPyKT1YGbE0VPgW59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2021-09-16T02:26:00Z</dcterms:created>
  <dc:creator>宋郁玫</dc:creator>
</cp:coreProperties>
</file>