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2266" w14:textId="77777777" w:rsidR="00F02DCA" w:rsidRPr="00CD237A" w:rsidRDefault="000357AD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color w:val="auto"/>
          <w:sz w:val="20"/>
          <w:szCs w:val="20"/>
          <w:lang w:val="zh-TW"/>
        </w:rPr>
      </w:pPr>
      <w:r>
        <w:rPr>
          <w:rFonts w:ascii="Times" w:eastAsia="標楷體" w:hAnsi="Times" w:cs="Times New Roman"/>
          <w:b/>
          <w:color w:val="auto"/>
          <w:sz w:val="20"/>
          <w:szCs w:val="20"/>
          <w:lang w:val="zh-TW"/>
        </w:rPr>
        <w:t xml:space="preserve">     </w:t>
      </w:r>
      <w:r w:rsidR="00F02DCA" w:rsidRPr="00CD237A">
        <w:rPr>
          <w:rFonts w:ascii="Times" w:eastAsia="標楷體" w:hAnsi="Times" w:cs="Times New Roman"/>
          <w:b/>
          <w:color w:val="auto"/>
          <w:sz w:val="20"/>
          <w:szCs w:val="20"/>
          <w:lang w:val="zh-TW"/>
        </w:rPr>
        <w:t>臺北市立美術館新聞稿</w:t>
      </w:r>
    </w:p>
    <w:p w14:paraId="1EC19061" w14:textId="77777777" w:rsidR="0055746F" w:rsidRPr="00CD237A" w:rsidRDefault="0055746F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color w:val="auto"/>
          <w:sz w:val="20"/>
          <w:szCs w:val="20"/>
          <w:lang w:val="zh-TW"/>
        </w:rPr>
      </w:pP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352"/>
      </w:tblGrid>
      <w:tr w:rsidR="004335CE" w:rsidRPr="00CD237A" w14:paraId="1FC808CC" w14:textId="77777777" w:rsidTr="004335CE">
        <w:trPr>
          <w:trHeight w:val="186"/>
        </w:trPr>
        <w:tc>
          <w:tcPr>
            <w:tcW w:w="4145" w:type="dxa"/>
            <w:vAlign w:val="center"/>
          </w:tcPr>
          <w:p w14:paraId="02CC8D3E" w14:textId="752A3001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</w:pP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發稿單位：</w:t>
            </w:r>
            <w:r w:rsidR="00E322DC"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行銷推廣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組</w:t>
            </w:r>
          </w:p>
        </w:tc>
        <w:tc>
          <w:tcPr>
            <w:tcW w:w="5352" w:type="dxa"/>
            <w:vAlign w:val="center"/>
          </w:tcPr>
          <w:p w14:paraId="7C53393E" w14:textId="77777777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官方網頁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：</w:t>
            </w:r>
            <w:r w:rsidRPr="00CD237A"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  <w:t>http://www.tfam.museum/</w:t>
            </w:r>
          </w:p>
        </w:tc>
      </w:tr>
      <w:tr w:rsidR="004335CE" w:rsidRPr="00CD237A" w14:paraId="6EF5D917" w14:textId="77777777" w:rsidTr="004335CE">
        <w:trPr>
          <w:trHeight w:val="262"/>
        </w:trPr>
        <w:tc>
          <w:tcPr>
            <w:tcW w:w="4145" w:type="dxa"/>
            <w:vAlign w:val="center"/>
          </w:tcPr>
          <w:p w14:paraId="58063BAC" w14:textId="2869E318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</w:pP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發稿日期：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201</w:t>
            </w:r>
            <w:r w:rsidR="00E322DC"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9.3.22</w:t>
            </w:r>
          </w:p>
        </w:tc>
        <w:tc>
          <w:tcPr>
            <w:tcW w:w="5352" w:type="dxa"/>
            <w:vAlign w:val="center"/>
          </w:tcPr>
          <w:p w14:paraId="022C0CDB" w14:textId="77777777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FB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粉絲專頁：</w:t>
            </w:r>
            <w:r w:rsidRPr="00CD237A">
              <w:rPr>
                <w:rFonts w:ascii="Times" w:eastAsia="標楷體" w:hAnsi="Times" w:cs="Times New Roman" w:hint="default"/>
                <w:color w:val="auto"/>
                <w:sz w:val="20"/>
                <w:szCs w:val="20"/>
                <w:lang w:val="zh-TW"/>
              </w:rPr>
              <w:t>臺北市立美術館</w:t>
            </w:r>
            <w:r w:rsidRPr="00CD237A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4335CE" w:rsidRPr="00CD237A" w14:paraId="2510CB74" w14:textId="77777777" w:rsidTr="004335CE">
        <w:tc>
          <w:tcPr>
            <w:tcW w:w="9497" w:type="dxa"/>
            <w:gridSpan w:val="2"/>
            <w:vAlign w:val="center"/>
          </w:tcPr>
          <w:p w14:paraId="689635A6" w14:textId="77777777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color w:val="auto"/>
                <w:sz w:val="20"/>
                <w:szCs w:val="20"/>
              </w:rPr>
            </w:pP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新聞聯絡人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：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宋郁玫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02-2595-7656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分機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107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，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yumei</w:t>
            </w:r>
            <w:hyperlink r:id="rId8" w:history="1">
              <w:r w:rsidRPr="00CD237A">
                <w:rPr>
                  <w:rFonts w:ascii="Times" w:eastAsia="標楷體" w:hAnsi="Times" w:cs="Times New Roman"/>
                  <w:color w:val="auto"/>
                  <w:sz w:val="20"/>
                  <w:szCs w:val="20"/>
                </w:rPr>
                <w:t>@tfam.gov.tw</w:t>
              </w:r>
            </w:hyperlink>
          </w:p>
          <w:p w14:paraId="6595209B" w14:textId="77777777" w:rsidR="004335CE" w:rsidRPr="00CD237A" w:rsidRDefault="004335CE" w:rsidP="009A6F73">
            <w:pPr>
              <w:spacing w:line="276" w:lineRule="auto"/>
              <w:contextualSpacing/>
              <w:jc w:val="both"/>
              <w:rPr>
                <w:rFonts w:ascii="Times" w:eastAsia="標楷體" w:hAnsi="Times" w:cs="Times New Roman" w:hint="default"/>
                <w:b/>
                <w:bCs/>
                <w:color w:val="auto"/>
                <w:sz w:val="22"/>
                <w:szCs w:val="22"/>
              </w:rPr>
            </w:pPr>
            <w:r w:rsidRPr="00CD237A">
              <w:rPr>
                <w:rFonts w:ascii="Times New Roman" w:eastAsia="微軟正黑體" w:hAnsi="Times New Roman" w:cs="Times New Roman"/>
                <w:sz w:val="20"/>
              </w:rPr>
              <w:t xml:space="preserve">          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 xml:space="preserve">              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高子</w:t>
            </w:r>
            <w:proofErr w:type="gramStart"/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衿</w:t>
            </w:r>
            <w:proofErr w:type="gramEnd"/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 xml:space="preserve"> 02-2595-7656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  <w:lang w:val="zh-TW"/>
              </w:rPr>
              <w:t>分機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110</w:t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，</w:t>
            </w:r>
            <w:r w:rsidR="00CD44DB" w:rsidRPr="00CD237A">
              <w:fldChar w:fldCharType="begin"/>
            </w:r>
            <w:r w:rsidR="00CD44DB" w:rsidRPr="00CD237A">
              <w:instrText xml:space="preserve"> HYPERLINK "mailto:tckao@tfam.gov.tw" </w:instrText>
            </w:r>
            <w:r w:rsidR="00CD44DB" w:rsidRPr="00CD237A">
              <w:fldChar w:fldCharType="separate"/>
            </w:r>
            <w:r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t>tckao@tfam.gov.tw</w:t>
            </w:r>
            <w:r w:rsidR="00CD44DB" w:rsidRPr="00CD237A">
              <w:rPr>
                <w:rFonts w:ascii="Times" w:eastAsia="標楷體" w:hAnsi="Times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059DF42" w14:textId="77777777" w:rsidR="000357AD" w:rsidRPr="00CD237A" w:rsidRDefault="000357AD" w:rsidP="009A6F73">
      <w:pPr>
        <w:spacing w:line="276" w:lineRule="auto"/>
        <w:contextualSpacing/>
        <w:jc w:val="both"/>
        <w:rPr>
          <w:rFonts w:ascii="Times" w:eastAsia="標楷體" w:hAnsi="Times" w:cs="Times New Roman" w:hint="default"/>
          <w:color w:val="auto"/>
          <w:sz w:val="20"/>
          <w:szCs w:val="20"/>
        </w:rPr>
      </w:pPr>
    </w:p>
    <w:p w14:paraId="62D6B0B4" w14:textId="77777777" w:rsidR="00053617" w:rsidRPr="00CD237A" w:rsidRDefault="00053617" w:rsidP="00361ED4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</w:pPr>
    </w:p>
    <w:p w14:paraId="6145DF67" w14:textId="77777777" w:rsidR="00053617" w:rsidRPr="00CD237A" w:rsidRDefault="00053617" w:rsidP="00361ED4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  <w:sectPr w:rsidR="00053617" w:rsidRPr="00CD237A" w:rsidSect="00B86D42">
          <w:headerReference w:type="default" r:id="rId9"/>
          <w:footerReference w:type="default" r:id="rId10"/>
          <w:type w:val="continuous"/>
          <w:pgSz w:w="11900" w:h="16840"/>
          <w:pgMar w:top="1418" w:right="1134" w:bottom="1418" w:left="1134" w:header="851" w:footer="448" w:gutter="0"/>
          <w:cols w:space="720"/>
        </w:sectPr>
      </w:pPr>
    </w:p>
    <w:p w14:paraId="50984F7A" w14:textId="77777777" w:rsidR="00F532C3" w:rsidRPr="00CD237A" w:rsidRDefault="00F532C3" w:rsidP="00361ED4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</w:pPr>
      <w:bookmarkStart w:id="0" w:name="OLE_LINK1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lastRenderedPageBreak/>
        <w:t>展覽日期：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201</w:t>
      </w:r>
      <w:r w:rsidR="008503EB" w:rsidRPr="00CD237A">
        <w:rPr>
          <w:rFonts w:ascii="Times" w:eastAsia="標楷體" w:hAnsi="Times" w:cs="Times New Roman"/>
          <w:color w:val="auto"/>
          <w:sz w:val="20"/>
          <w:szCs w:val="20"/>
        </w:rPr>
        <w:t>9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年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5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月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1</w:t>
      </w:r>
      <w:r w:rsidR="00AF72A1" w:rsidRPr="00CD237A">
        <w:rPr>
          <w:rFonts w:ascii="Times" w:eastAsia="標楷體" w:hAnsi="Times" w:cs="Times New Roman"/>
          <w:color w:val="auto"/>
          <w:sz w:val="20"/>
          <w:szCs w:val="20"/>
        </w:rPr>
        <w:t>1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日至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11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月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2</w:t>
      </w:r>
      <w:r w:rsidR="00AF72A1" w:rsidRPr="00CD237A">
        <w:rPr>
          <w:rFonts w:ascii="Times" w:eastAsia="標楷體" w:hAnsi="Times" w:cs="Times New Roman"/>
          <w:color w:val="auto"/>
          <w:sz w:val="20"/>
          <w:szCs w:val="20"/>
        </w:rPr>
        <w:t>4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日</w:t>
      </w:r>
    </w:p>
    <w:p w14:paraId="7E2DEC15" w14:textId="77777777" w:rsidR="00987887" w:rsidRPr="00CD237A" w:rsidRDefault="00F532C3" w:rsidP="00361ED4">
      <w:pPr>
        <w:spacing w:line="276" w:lineRule="auto"/>
        <w:contextualSpacing/>
        <w:rPr>
          <w:rFonts w:ascii="Times" w:eastAsia="標楷體" w:hAnsi="Times" w:cs="Times New Roman" w:hint="default"/>
          <w:color w:val="auto"/>
          <w:sz w:val="20"/>
          <w:szCs w:val="20"/>
        </w:rPr>
        <w:sectPr w:rsidR="00987887" w:rsidRPr="00CD237A" w:rsidSect="00F532C3">
          <w:type w:val="continuous"/>
          <w:pgSz w:w="11900" w:h="16840"/>
          <w:pgMar w:top="1418" w:right="1418" w:bottom="1418" w:left="1418" w:header="851" w:footer="448" w:gutter="0"/>
          <w:cols w:space="720"/>
        </w:sectPr>
      </w:pP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展覽地點：義大利威尼斯普里奇歐尼宮</w:t>
      </w:r>
      <w:proofErr w:type="gramStart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邸</w:t>
      </w:r>
      <w:proofErr w:type="gramEnd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（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 xml:space="preserve">Palazzo </w:t>
      </w:r>
      <w:proofErr w:type="spellStart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delle</w:t>
      </w:r>
      <w:proofErr w:type="spellEnd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 xml:space="preserve"> </w:t>
      </w:r>
      <w:proofErr w:type="spellStart"/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Prigioni</w:t>
      </w:r>
      <w:proofErr w:type="spellEnd"/>
      <w:r w:rsidR="00AF72A1" w:rsidRPr="00CD237A">
        <w:rPr>
          <w:rFonts w:ascii="Times" w:eastAsia="標楷體" w:hAnsi="Times" w:cs="Times New Roman"/>
          <w:color w:val="auto"/>
          <w:sz w:val="20"/>
          <w:szCs w:val="20"/>
        </w:rPr>
        <w:t>, Venice, Italy</w:t>
      </w:r>
      <w:r w:rsidRPr="00CD237A">
        <w:rPr>
          <w:rFonts w:ascii="Times" w:eastAsia="標楷體" w:hAnsi="Times" w:cs="Times New Roman" w:hint="default"/>
          <w:color w:val="auto"/>
          <w:sz w:val="20"/>
          <w:szCs w:val="20"/>
        </w:rPr>
        <w:t>）</w:t>
      </w:r>
    </w:p>
    <w:bookmarkEnd w:id="0"/>
    <w:p w14:paraId="42C6EFFE" w14:textId="77777777" w:rsidR="000357AD" w:rsidRPr="00CD237A" w:rsidRDefault="000357AD" w:rsidP="00361ED4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</w:p>
    <w:p w14:paraId="64F1C19B" w14:textId="77777777" w:rsidR="005C1F0E" w:rsidRPr="00CD237A" w:rsidRDefault="005C1F0E" w:rsidP="00361ED4">
      <w:pPr>
        <w:spacing w:line="276" w:lineRule="auto"/>
        <w:contextualSpacing/>
        <w:jc w:val="both"/>
        <w:rPr>
          <w:rFonts w:ascii="Times" w:eastAsia="標楷體" w:hAnsi="Times" w:cs="Times New Roman" w:hint="default"/>
          <w:b/>
          <w:bCs/>
          <w:color w:val="auto"/>
          <w:sz w:val="22"/>
          <w:szCs w:val="22"/>
        </w:rPr>
      </w:pPr>
    </w:p>
    <w:p w14:paraId="255DC87F" w14:textId="77777777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CD237A">
        <w:rPr>
          <w:rFonts w:ascii="標楷體" w:eastAsia="標楷體" w:hAnsi="標楷體" w:cs="新細明體"/>
          <w:b/>
          <w:bCs/>
          <w:sz w:val="22"/>
          <w:szCs w:val="22"/>
          <w:bdr w:val="none" w:sz="0" w:space="0" w:color="auto"/>
        </w:rPr>
        <w:t>「第</w:t>
      </w:r>
      <w:r w:rsidRPr="00CD237A">
        <w:rPr>
          <w:rFonts w:ascii="標楷體" w:eastAsia="標楷體" w:hAnsi="標楷體" w:cs="Times New Roman"/>
          <w:b/>
          <w:bCs/>
          <w:sz w:val="22"/>
          <w:szCs w:val="22"/>
          <w:bdr w:val="none" w:sz="0" w:space="0" w:color="auto"/>
        </w:rPr>
        <w:t>58</w:t>
      </w:r>
      <w:r w:rsidRPr="00CD237A">
        <w:rPr>
          <w:rFonts w:ascii="標楷體" w:eastAsia="標楷體" w:hAnsi="標楷體" w:cs="新細明體"/>
          <w:b/>
          <w:bCs/>
          <w:sz w:val="22"/>
          <w:szCs w:val="22"/>
          <w:bdr w:val="none" w:sz="0" w:space="0" w:color="auto"/>
        </w:rPr>
        <w:t>屆威尼斯國際美術雙年展」台灣館「</w:t>
      </w:r>
      <w:r w:rsidRPr="00CD237A">
        <w:rPr>
          <w:rFonts w:ascii="標楷體" w:eastAsia="標楷體" w:hAnsi="標楷體" w:cs="Times New Roman"/>
          <w:b/>
          <w:bCs/>
          <w:sz w:val="22"/>
          <w:szCs w:val="22"/>
          <w:bdr w:val="none" w:sz="0" w:space="0" w:color="auto"/>
        </w:rPr>
        <w:t>3x3x6</w:t>
      </w:r>
      <w:r w:rsidRPr="00CD237A">
        <w:rPr>
          <w:rFonts w:ascii="標楷體" w:eastAsia="標楷體" w:hAnsi="標楷體" w:cs="新細明體"/>
          <w:b/>
          <w:bCs/>
          <w:sz w:val="22"/>
          <w:szCs w:val="22"/>
          <w:bdr w:val="none" w:sz="0" w:space="0" w:color="auto"/>
        </w:rPr>
        <w:t>」</w:t>
      </w:r>
    </w:p>
    <w:p w14:paraId="19E16FC1" w14:textId="77777777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CD237A">
        <w:rPr>
          <w:rFonts w:ascii="標楷體" w:eastAsia="標楷體" w:hAnsi="標楷體" w:cs="新細明體"/>
          <w:b/>
          <w:bCs/>
          <w:sz w:val="22"/>
          <w:szCs w:val="22"/>
          <w:bdr w:val="none" w:sz="0" w:space="0" w:color="auto"/>
        </w:rPr>
        <w:t>藝術家鄭淑麗即將帶領臺灣團隊前進威尼斯！</w:t>
      </w:r>
    </w:p>
    <w:p w14:paraId="7888FAC1" w14:textId="77777777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CD237A">
        <w:rPr>
          <w:rFonts w:ascii="標楷體" w:eastAsia="標楷體" w:hAnsi="標楷體" w:cs="Times New Roman"/>
          <w:b/>
          <w:bCs/>
          <w:sz w:val="22"/>
          <w:szCs w:val="22"/>
          <w:bdr w:val="none" w:sz="0" w:space="0" w:color="auto"/>
        </w:rPr>
        <w:t xml:space="preserve"> </w:t>
      </w:r>
    </w:p>
    <w:p w14:paraId="3A08AE6E" w14:textId="49AB9E30" w:rsidR="00CD44DB" w:rsidRPr="00CD237A" w:rsidRDefault="00707854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由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臺北市立美術館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主辦之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「第58屆威尼斯國際美術雙年展」台灣館「3x3x6」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，於今日舉辦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行前記者會，代表參展藝術家</w:t>
      </w:r>
      <w:r w:rsidR="00CD44DB"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、策展人</w:t>
      </w:r>
      <w:r w:rsidR="00CD44DB"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保羅</w:t>
      </w:r>
      <w:proofErr w:type="gramStart"/>
      <w:r w:rsidR="00CD44DB"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‧</w:t>
      </w:r>
      <w:proofErr w:type="gramEnd"/>
      <w:r w:rsidR="00CD44DB"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普雷西亞多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(Paul B. </w:t>
      </w:r>
      <w:proofErr w:type="spellStart"/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Preciado</w:t>
      </w:r>
      <w:proofErr w:type="spellEnd"/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)偕同北美館團隊、臺灣技術團隊共同宣布為本次展出限地製作</w:t>
      </w:r>
      <w:r w:rsidR="0046760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的全新裝置作品</w:t>
      </w:r>
      <w:r w:rsidR="00CD44D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將於近日啟運，一個月後於全球藝術盛會首度公開發表！</w:t>
      </w:r>
    </w:p>
    <w:p w14:paraId="7A189696" w14:textId="77777777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</w:p>
    <w:p w14:paraId="1C55F686" w14:textId="0F6E4D08" w:rsidR="00CD44DB" w:rsidRPr="00CD237A" w:rsidRDefault="00CD44DB" w:rsidP="00361ED4">
      <w:pPr>
        <w:spacing w:line="276" w:lineRule="auto"/>
        <w:jc w:val="both"/>
        <w:rPr>
          <w:rFonts w:ascii="標楷體" w:eastAsia="標楷體" w:hAnsi="標楷體" w:cs="新細明體" w:hint="default"/>
          <w:sz w:val="22"/>
        </w:rPr>
      </w:pP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本屆台灣館展覽暨作品名稱「3x3x6」</w:t>
      </w:r>
      <w:r w:rsidR="004A1BC9" w:rsidRPr="00CD237A">
        <w:rPr>
          <w:rFonts w:ascii="標楷體" w:eastAsia="標楷體" w:hAnsi="標楷體" w:cs="新細明體"/>
          <w:sz w:val="22"/>
        </w:rPr>
        <w:t>來自</w:t>
      </w:r>
      <w:r w:rsidR="00837DEC" w:rsidRPr="00CD237A">
        <w:rPr>
          <w:rFonts w:ascii="標楷體" w:eastAsia="標楷體" w:hAnsi="標楷體" w:cs="新細明體"/>
          <w:sz w:val="22"/>
        </w:rPr>
        <w:t>當今監獄體系的標準建築結構</w:t>
      </w:r>
      <w:r w:rsidR="004A1BC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proofErr w:type="gramStart"/>
      <w:r w:rsidR="004A1BC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指涉</w:t>
      </w:r>
      <w:r w:rsidR="004A1BC9" w:rsidRPr="00CD237A">
        <w:rPr>
          <w:rFonts w:ascii="標楷體" w:eastAsia="標楷體" w:hAnsi="標楷體" w:cs="新細明體"/>
          <w:sz w:val="22"/>
        </w:rPr>
        <w:t>被</w:t>
      </w:r>
      <w:r w:rsidR="004A1BC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六個</w:t>
      </w:r>
      <w:proofErr w:type="gramEnd"/>
      <w:r w:rsidR="00837DEC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攝影機</w:t>
      </w:r>
      <w:r w:rsidR="004A1BC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不斷監看</w:t>
      </w:r>
      <w:r w:rsidR="004A1BC9" w:rsidRPr="00CD237A">
        <w:rPr>
          <w:rFonts w:ascii="標楷體" w:eastAsia="標楷體" w:hAnsi="標楷體" w:cs="新細明體"/>
          <w:sz w:val="22"/>
        </w:rPr>
        <w:t>下的</w:t>
      </w:r>
      <w:r w:rsidR="004A1BC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九平方米拘禁空間，構成「3x3x6」結合實體空間及監看機制之監禁維度。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鄭淑麗</w:t>
      </w:r>
      <w:proofErr w:type="gram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跳脫將台灣</w:t>
      </w:r>
      <w:proofErr w:type="gram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館普里奇歐尼宮（Palazzo </w:t>
      </w:r>
      <w:proofErr w:type="spell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delle</w:t>
      </w:r>
      <w:proofErr w:type="spell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 xml:space="preserve"> </w:t>
      </w:r>
      <w:proofErr w:type="spell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Prigioni</w:t>
      </w:r>
      <w:proofErr w:type="spell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）視為單純展示空間的思維，</w:t>
      </w:r>
      <w:proofErr w:type="gram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追索該建築</w:t>
      </w:r>
      <w:proofErr w:type="gramEnd"/>
      <w:r w:rsidR="0046760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於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十六世紀作為監獄的歷史脈絡，將其轉變為</w:t>
      </w:r>
      <w:r w:rsidR="00CA33E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當代</w:t>
      </w:r>
      <w:r w:rsidR="00703CB8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高科技監控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空間，探</w:t>
      </w:r>
      <w:r w:rsidR="00CA33E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討當代民主社會</w:t>
      </w:r>
      <w:r w:rsidR="00F73BD3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中</w:t>
      </w:r>
      <w:r w:rsidR="00CA33E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監禁</w:t>
      </w:r>
      <w:r w:rsidR="001B449B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</w:t>
      </w:r>
      <w:r w:rsidR="00F73BD3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多重</w:t>
      </w:r>
      <w:r w:rsidR="00CA33E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意涵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。在監控機制漸趨嚴密完備的現下，人們的肉身看似自由，然而卻時時受到大數據、臉部辨識等</w:t>
      </w:r>
      <w:proofErr w:type="gram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監看控管</w:t>
      </w:r>
      <w:proofErr w:type="gram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，另一種超越實體囚禁卻更顯全面籠罩的監禁型態儼然形成。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本次</w:t>
      </w:r>
      <w:r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創作橫跨四個展間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的沈浸式裝置作品，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其即時互動界面邀請觀者參與以</w:t>
      </w:r>
      <w:r w:rsidR="00627BB7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共同想像一個解除身體禁錮</w:t>
      </w:r>
      <w:r w:rsidR="00E57E6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的社會、探索</w:t>
      </w:r>
      <w:r w:rsidR="00627BB7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從既有認知與規範中</w:t>
      </w:r>
      <w:r w:rsidR="00B2629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鬆綁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</w:t>
      </w:r>
      <w:r w:rsidR="00E57E6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可能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</w:p>
    <w:p w14:paraId="28DF3A17" w14:textId="77777777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</w:p>
    <w:p w14:paraId="389B9051" w14:textId="0ED8C028" w:rsidR="00CD44DB" w:rsidRPr="00CD237A" w:rsidRDefault="00CD44DB" w:rsidP="00361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本展覽主要裝置</w:t>
      </w:r>
      <w:proofErr w:type="gram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——</w:t>
      </w:r>
      <w:proofErr w:type="gram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旋轉投影塔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為</w:t>
      </w:r>
      <w:r w:rsidR="00FD1F95"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受美國紐約古根漢美術館委託創作並典藏之網路藝術作品《布蘭登》（BRANDON，1998-1999年）中</w:t>
      </w:r>
      <w:proofErr w:type="gramStart"/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全景敞視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介面</w:t>
      </w:r>
      <w:proofErr w:type="gramEnd"/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的延伸，其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原型來自十八世紀哲學家傑瑞米</w:t>
      </w:r>
      <w:r w:rsidR="00B2629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．</w:t>
      </w:r>
      <w:proofErr w:type="gram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邊沁(</w:t>
      </w:r>
      <w:proofErr w:type="gram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Jeremy Bentham)所設計</w:t>
      </w:r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之環形監獄(</w:t>
      </w:r>
      <w:proofErr w:type="spellStart"/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panopticon</w:t>
      </w:r>
      <w:proofErr w:type="spellEnd"/>
      <w:r w:rsidR="00FD1F9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)中央的監視塔樓</w:t>
      </w:r>
      <w:r w:rsidR="00B2629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現場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擷取的觀者群像、或是</w:t>
      </w:r>
      <w:r w:rsidR="00627BB7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由全世界</w:t>
      </w:r>
      <w:r w:rsidR="0089634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上傳至本展覽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手機應用程式的自拍影像等影像來源，都將被</w:t>
      </w:r>
      <w:r w:rsidR="00E84D8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重新編碼為與真實性別、種族相異的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影像，經</w:t>
      </w:r>
      <w:r w:rsidR="0089634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電腦運算</w:t>
      </w:r>
      <w:proofErr w:type="gramStart"/>
      <w:r w:rsidR="0089634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亂數混編後</w:t>
      </w:r>
      <w:proofErr w:type="gramEnd"/>
      <w:r w:rsidR="00896345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投射</w:t>
      </w:r>
      <w:r w:rsidR="00E84D8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而出</w:t>
      </w:r>
      <w:r w:rsidR="00941258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以</w:t>
      </w:r>
      <w:r w:rsidR="00627BB7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顯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示</w:t>
      </w:r>
      <w:r w:rsidR="00F73BD3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藝術家</w:t>
      </w:r>
      <w:r w:rsidR="00941258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介入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全面監看網絡</w:t>
      </w:r>
      <w:r w:rsidR="00941258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的</w:t>
      </w:r>
      <w:r w:rsidR="00E84D8E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數位</w:t>
      </w:r>
      <w:r w:rsidR="00941258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辨識系統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Pr="00CD237A">
        <w:rPr>
          <w:rFonts w:ascii="標楷體" w:eastAsia="標楷體" w:hAnsi="標楷體" w:cs="新細明體"/>
          <w:sz w:val="22"/>
          <w:szCs w:val="22"/>
          <w:u w:val="single"/>
          <w:bdr w:val="none" w:sz="0" w:space="0" w:color="auto"/>
        </w:rPr>
        <w:t>鄭淑麗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另針對十位歷史上及當代由於特殊性別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取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  <w:shd w:val="clear" w:color="auto" w:fill="FFFFFF"/>
        </w:rPr>
        <w:t>向而不見容於社會、甚至遭受監禁的個案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進行縝密的研究，分別發展出十段情節虛構的「跨性別-龐克」（</w:t>
      </w:r>
      <w:proofErr w:type="spellStart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transpunk</w:t>
      </w:r>
      <w:proofErr w:type="spellEnd"/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）短篇科幻影片，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由生理特徵與原型人物不相符的演員擔綱演出，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帶領觀者步入</w:t>
      </w:r>
      <w:r w:rsidR="00B27256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虛實交錯的多重</w:t>
      </w: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敘事。該系列影片</w:t>
      </w:r>
      <w:r w:rsidR="00374031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由德國</w:t>
      </w:r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>電影製片公司</w:t>
      </w:r>
      <w:proofErr w:type="spellStart"/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>Juergen</w:t>
      </w:r>
      <w:proofErr w:type="spellEnd"/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 xml:space="preserve"> </w:t>
      </w:r>
      <w:proofErr w:type="spellStart"/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>Bruening</w:t>
      </w:r>
      <w:proofErr w:type="spellEnd"/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 xml:space="preserve"> </w:t>
      </w:r>
      <w:proofErr w:type="spellStart"/>
      <w:r w:rsidR="00374031" w:rsidRPr="00CD237A"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  <w:t>Filmproduktion</w:t>
      </w:r>
      <w:proofErr w:type="spellEnd"/>
      <w:r w:rsidR="00374031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協同製作，已於柏林拍攝完畢，現由西班牙特效團隊Oh My Render Studio進行影片特效處理中。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由影片素材剪輯製作而成的預告影片</w:t>
      </w:r>
      <w:r w:rsidR="00627BB7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則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於記者會現場首度曝光。</w:t>
      </w:r>
    </w:p>
    <w:p w14:paraId="5BC6AE02" w14:textId="77777777" w:rsidR="00B27256" w:rsidRPr="00CD237A" w:rsidRDefault="00B27256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FF0000"/>
          <w:bdr w:val="none" w:sz="0" w:space="0" w:color="auto"/>
        </w:rPr>
      </w:pPr>
    </w:p>
    <w:p w14:paraId="7F77FDC8" w14:textId="7F9D409C" w:rsidR="00835928" w:rsidRPr="00CD237A" w:rsidRDefault="00CD44DB" w:rsidP="00835928">
      <w:pPr>
        <w:pStyle w:val="gmail-p1"/>
        <w:spacing w:before="0" w:beforeAutospacing="0" w:after="0" w:afterAutospacing="0" w:line="276" w:lineRule="auto"/>
        <w:jc w:val="both"/>
        <w:rPr>
          <w:rFonts w:ascii="標楷體" w:eastAsia="標楷體" w:hAnsi="標楷體"/>
          <w:color w:val="000000"/>
          <w:sz w:val="20"/>
          <w:szCs w:val="22"/>
        </w:rPr>
      </w:pPr>
      <w:r w:rsidRPr="00CD237A">
        <w:rPr>
          <w:rFonts w:ascii="標楷體" w:eastAsia="標楷體" w:hAnsi="標楷體"/>
          <w:sz w:val="22"/>
          <w:szCs w:val="22"/>
        </w:rPr>
        <w:t>作品</w:t>
      </w:r>
      <w:r w:rsidR="00B26290" w:rsidRPr="00CD237A">
        <w:rPr>
          <w:rFonts w:ascii="標楷體" w:eastAsia="標楷體" w:hAnsi="標楷體"/>
          <w:sz w:val="22"/>
          <w:szCs w:val="22"/>
        </w:rPr>
        <w:t>於空間開展出</w:t>
      </w:r>
      <w:r w:rsidR="00FD1F95" w:rsidRPr="00CD237A">
        <w:rPr>
          <w:rFonts w:ascii="標楷體" w:eastAsia="標楷體" w:hAnsi="標楷體"/>
          <w:sz w:val="22"/>
          <w:szCs w:val="22"/>
        </w:rPr>
        <w:t>的敘事軸線</w:t>
      </w:r>
      <w:r w:rsidR="00B26290" w:rsidRPr="00CD237A">
        <w:rPr>
          <w:rFonts w:ascii="標楷體" w:eastAsia="標楷體" w:hAnsi="標楷體"/>
          <w:sz w:val="22"/>
          <w:szCs w:val="22"/>
        </w:rPr>
        <w:t>，最終</w:t>
      </w:r>
      <w:r w:rsidR="00FD1F95" w:rsidRPr="00CD237A">
        <w:rPr>
          <w:rFonts w:ascii="標楷體" w:eastAsia="標楷體" w:hAnsi="標楷體"/>
          <w:sz w:val="22"/>
          <w:szCs w:val="22"/>
        </w:rPr>
        <w:t>將引導觀者步入所有影像資訊匯流與運算的控制室，揭露</w:t>
      </w:r>
      <w:r w:rsidRPr="00CD237A">
        <w:rPr>
          <w:rFonts w:ascii="標楷體" w:eastAsia="標楷體" w:hAnsi="標楷體"/>
          <w:sz w:val="22"/>
          <w:szCs w:val="22"/>
        </w:rPr>
        <w:t>裝置的系統機制與應用技術。</w:t>
      </w:r>
      <w:r w:rsidR="00FD1F95" w:rsidRPr="00CD237A">
        <w:rPr>
          <w:rFonts w:ascii="標楷體" w:eastAsia="標楷體" w:hAnsi="標楷體"/>
          <w:sz w:val="22"/>
          <w:szCs w:val="22"/>
        </w:rPr>
        <w:t>本作品涉及多重</w:t>
      </w:r>
      <w:r w:rsidRPr="00CD237A">
        <w:rPr>
          <w:rFonts w:ascii="標楷體" w:eastAsia="標楷體" w:hAnsi="標楷體"/>
          <w:sz w:val="22"/>
          <w:szCs w:val="22"/>
        </w:rPr>
        <w:t>技術層面，</w:t>
      </w:r>
      <w:r w:rsidRPr="00CD237A">
        <w:rPr>
          <w:rFonts w:ascii="標楷體" w:eastAsia="標楷體" w:hAnsi="標楷體"/>
          <w:sz w:val="22"/>
          <w:szCs w:val="22"/>
          <w:u w:val="single"/>
        </w:rPr>
        <w:t>鄭淑麗</w:t>
      </w:r>
      <w:r w:rsidRPr="00CD237A">
        <w:rPr>
          <w:rFonts w:ascii="標楷體" w:eastAsia="標楷體" w:hAnsi="標楷體"/>
          <w:sz w:val="22"/>
          <w:szCs w:val="22"/>
        </w:rPr>
        <w:t>特別集結臺灣科技藝術領域的</w:t>
      </w:r>
      <w:r w:rsidRPr="00CD237A">
        <w:rPr>
          <w:rFonts w:ascii="標楷體" w:eastAsia="標楷體" w:hAnsi="標楷體"/>
          <w:sz w:val="22"/>
          <w:szCs w:val="22"/>
        </w:rPr>
        <w:lastRenderedPageBreak/>
        <w:t>佼佼者共同創作，延攬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科技</w:t>
      </w:r>
      <w:r w:rsidRPr="00CD237A">
        <w:rPr>
          <w:rFonts w:ascii="標楷體" w:eastAsia="標楷體" w:hAnsi="標楷體"/>
          <w:sz w:val="22"/>
          <w:szCs w:val="22"/>
        </w:rPr>
        <w:t>藝術創作團隊Dimension Plus 總監</w:t>
      </w:r>
      <w:r w:rsidRPr="00CD237A">
        <w:rPr>
          <w:rFonts w:ascii="標楷體" w:eastAsia="標楷體" w:hAnsi="標楷體"/>
          <w:sz w:val="22"/>
          <w:szCs w:val="22"/>
          <w:u w:val="single"/>
        </w:rPr>
        <w:t>蔡宏賢</w:t>
      </w:r>
      <w:r w:rsidRPr="00CD237A">
        <w:rPr>
          <w:rFonts w:ascii="標楷體" w:eastAsia="標楷體" w:hAnsi="標楷體"/>
          <w:sz w:val="22"/>
          <w:szCs w:val="22"/>
        </w:rPr>
        <w:t>擔任製作總監、工業設計師</w:t>
      </w:r>
      <w:r w:rsidRPr="00CD237A">
        <w:rPr>
          <w:rFonts w:ascii="標楷體" w:eastAsia="標楷體" w:hAnsi="標楷體"/>
          <w:sz w:val="22"/>
          <w:szCs w:val="22"/>
          <w:u w:val="single"/>
        </w:rPr>
        <w:t>楊博顯</w:t>
      </w:r>
      <w:r w:rsidRPr="00CD237A">
        <w:rPr>
          <w:rFonts w:ascii="標楷體" w:eastAsia="標楷體" w:hAnsi="標楷體"/>
          <w:sz w:val="22"/>
          <w:szCs w:val="22"/>
        </w:rPr>
        <w:t>為設計總監，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軟體方面由</w:t>
      </w:r>
      <w:proofErr w:type="gramStart"/>
      <w:r w:rsidR="00835928" w:rsidRPr="00CD237A">
        <w:rPr>
          <w:rFonts w:ascii="標楷體" w:eastAsia="標楷體" w:hAnsi="標楷體" w:hint="eastAsia"/>
          <w:color w:val="000000"/>
          <w:sz w:val="22"/>
          <w:u w:val="single"/>
        </w:rPr>
        <w:t>鄭先喻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負責</w:t>
      </w:r>
      <w:proofErr w:type="gramEnd"/>
      <w:r w:rsidR="00835928" w:rsidRPr="00CD237A">
        <w:rPr>
          <w:rFonts w:ascii="標楷體" w:eastAsia="標楷體" w:hAnsi="標楷體" w:hint="eastAsia"/>
          <w:color w:val="000000"/>
          <w:sz w:val="22"/>
        </w:rPr>
        <w:t>多媒體與系統整合、</w:t>
      </w:r>
      <w:r w:rsidR="00835928" w:rsidRPr="00CD237A">
        <w:rPr>
          <w:rFonts w:ascii="標楷體" w:eastAsia="標楷體" w:hAnsi="標楷體" w:hint="eastAsia"/>
          <w:color w:val="000000"/>
          <w:sz w:val="22"/>
          <w:u w:val="single"/>
        </w:rPr>
        <w:t>李家祥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負責軟體應用、</w:t>
      </w:r>
      <w:r w:rsidR="00835928" w:rsidRPr="00CD237A">
        <w:rPr>
          <w:rFonts w:ascii="標楷體" w:eastAsia="標楷體" w:hAnsi="標楷體" w:hint="eastAsia"/>
          <w:color w:val="000000"/>
          <w:sz w:val="22"/>
          <w:u w:val="single"/>
        </w:rPr>
        <w:t>魏廷宇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負責3D影像設計，硬體工程由</w:t>
      </w:r>
      <w:r w:rsidRPr="00CD237A">
        <w:rPr>
          <w:rFonts w:ascii="標楷體" w:eastAsia="標楷體" w:hAnsi="標楷體"/>
          <w:sz w:val="22"/>
          <w:szCs w:val="22"/>
        </w:rPr>
        <w:t>大同大學機械工程學系</w:t>
      </w:r>
      <w:r w:rsidRPr="00CD237A">
        <w:rPr>
          <w:rFonts w:ascii="標楷體" w:eastAsia="標楷體" w:hAnsi="標楷體"/>
          <w:sz w:val="22"/>
          <w:szCs w:val="22"/>
          <w:u w:val="single"/>
        </w:rPr>
        <w:t>賴躍仁</w:t>
      </w:r>
      <w:r w:rsidRPr="00CD237A">
        <w:rPr>
          <w:rFonts w:ascii="標楷體" w:eastAsia="標楷體" w:hAnsi="標楷體"/>
          <w:sz w:val="22"/>
          <w:szCs w:val="22"/>
        </w:rPr>
        <w:t>教授</w:t>
      </w:r>
      <w:r w:rsidR="00835928" w:rsidRPr="00CD237A">
        <w:rPr>
          <w:rFonts w:ascii="標楷體" w:eastAsia="標楷體" w:hAnsi="標楷體" w:hint="eastAsia"/>
          <w:color w:val="000000"/>
          <w:sz w:val="22"/>
        </w:rPr>
        <w:t>與</w:t>
      </w:r>
      <w:proofErr w:type="gramStart"/>
      <w:r w:rsidR="00835928" w:rsidRPr="00CD237A">
        <w:rPr>
          <w:rFonts w:ascii="標楷體" w:eastAsia="標楷體" w:hAnsi="標楷體" w:hint="eastAsia"/>
          <w:color w:val="000000"/>
          <w:sz w:val="22"/>
          <w:u w:val="single"/>
        </w:rPr>
        <w:t>鍾湫浤</w:t>
      </w:r>
      <w:proofErr w:type="gramEnd"/>
      <w:r w:rsidR="00835928" w:rsidRPr="00CD237A">
        <w:rPr>
          <w:rFonts w:ascii="標楷體" w:eastAsia="標楷體" w:hAnsi="標楷體" w:hint="eastAsia"/>
          <w:color w:val="000000"/>
          <w:sz w:val="22"/>
        </w:rPr>
        <w:t xml:space="preserve">帶領技術團隊共同參與，由德國的Roger </w:t>
      </w:r>
      <w:proofErr w:type="spellStart"/>
      <w:r w:rsidR="00835928" w:rsidRPr="00CD237A">
        <w:rPr>
          <w:rFonts w:ascii="標楷體" w:eastAsia="標楷體" w:hAnsi="標楷體" w:hint="eastAsia"/>
          <w:color w:val="000000"/>
          <w:sz w:val="22"/>
        </w:rPr>
        <w:t>Sennert</w:t>
      </w:r>
      <w:proofErr w:type="spellEnd"/>
      <w:r w:rsidR="00835928" w:rsidRPr="00CD237A">
        <w:rPr>
          <w:rFonts w:ascii="標楷體" w:eastAsia="標楷體" w:hAnsi="標楷體" w:hint="eastAsia"/>
          <w:color w:val="000000"/>
          <w:sz w:val="22"/>
        </w:rPr>
        <w:t>負責網路連結，透過優秀團隊</w:t>
      </w:r>
      <w:proofErr w:type="gramStart"/>
      <w:r w:rsidR="00835928" w:rsidRPr="00CD237A">
        <w:rPr>
          <w:rFonts w:ascii="標楷體" w:eastAsia="標楷體" w:hAnsi="標楷體" w:hint="eastAsia"/>
          <w:color w:val="000000"/>
          <w:sz w:val="22"/>
        </w:rPr>
        <w:t>的跨域合作</w:t>
      </w:r>
      <w:proofErr w:type="gramEnd"/>
      <w:r w:rsidR="00835928" w:rsidRPr="00CD237A">
        <w:rPr>
          <w:rFonts w:ascii="標楷體" w:eastAsia="標楷體" w:hAnsi="標楷體" w:hint="eastAsia"/>
          <w:color w:val="000000"/>
          <w:sz w:val="22"/>
        </w:rPr>
        <w:t>，將軟體、硬體、網路連結、多媒體設計等進行系統整合，促成本次計畫的實現。</w:t>
      </w:r>
    </w:p>
    <w:p w14:paraId="6569389C" w14:textId="6CAE8D84" w:rsidR="00CD44DB" w:rsidRPr="00CD237A" w:rsidRDefault="00CD44DB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bdr w:val="none" w:sz="0" w:space="0" w:color="auto"/>
        </w:rPr>
      </w:pPr>
    </w:p>
    <w:p w14:paraId="3B38455D" w14:textId="77777777" w:rsidR="00725339" w:rsidRPr="00CD237A" w:rsidRDefault="00CD44DB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  <w:r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除了臺灣技術團隊的投入，本屆台灣館亦獲得企業</w:t>
      </w:r>
      <w:r w:rsidR="00B2629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界的響應</w:t>
      </w:r>
      <w:r w:rsidR="005A48D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，</w:t>
      </w:r>
      <w:r w:rsidR="00F73BD3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「</w:t>
      </w:r>
      <w:r w:rsidR="005A48D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藝術行政人才培育計畫</w:t>
      </w:r>
      <w:r w:rsidR="00F73BD3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」</w:t>
      </w:r>
      <w:r w:rsidR="005A48D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在中國信託文教基金會資源</w:t>
      </w:r>
      <w:proofErr w:type="gramStart"/>
      <w:r w:rsidR="005A48D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挹</w:t>
      </w:r>
      <w:proofErr w:type="gramEnd"/>
      <w:r w:rsidR="005A48D9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注之下順利續辦</w:t>
      </w:r>
      <w:r w:rsidR="00627BB7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。</w:t>
      </w:r>
      <w:r w:rsidR="00F82390" w:rsidRPr="00CD237A">
        <w:rPr>
          <w:rFonts w:ascii="標楷體" w:eastAsia="標楷體" w:hAnsi="標楷體" w:cs="新細明體"/>
          <w:sz w:val="22"/>
          <w:szCs w:val="22"/>
          <w:bdr w:val="none" w:sz="0" w:space="0" w:color="auto"/>
        </w:rPr>
        <w:t>中國信託文教基金會致力扎根藝文教育，不僅帶著藝術資源跨越城鄉，更希望用多元藝術內涵拓展青年學子的國際</w:t>
      </w:r>
      <w:r w:rsidR="00F82390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視野，為藝壇培育人才，</w:t>
      </w:r>
      <w:r w:rsidR="00F73BD3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與本計畫鼓勵藝術潛力新進者參與全球盛事的理念不謀而合。</w:t>
      </w:r>
    </w:p>
    <w:p w14:paraId="6E8B14A3" w14:textId="77777777" w:rsidR="00725339" w:rsidRPr="00CD237A" w:rsidRDefault="00725339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</w:p>
    <w:p w14:paraId="5EB7945A" w14:textId="4269A2FE" w:rsidR="0046760B" w:rsidRDefault="004A1BC9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  <w:r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技術團隊製作總監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蔡宏賢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、成員</w:t>
      </w:r>
      <w:r w:rsidRPr="00CD237A">
        <w:rPr>
          <w:rFonts w:ascii="標楷體" w:eastAsia="標楷體" w:hAnsi="標楷體"/>
          <w:sz w:val="22"/>
          <w:u w:val="single"/>
        </w:rPr>
        <w:t>李家祥</w:t>
      </w:r>
      <w:r w:rsidRPr="00CD237A">
        <w:rPr>
          <w:rFonts w:ascii="標楷體" w:eastAsia="標楷體" w:hAnsi="標楷體"/>
          <w:sz w:val="22"/>
        </w:rPr>
        <w:t>、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魏廷宇</w:t>
      </w:r>
      <w:r w:rsidR="00725339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，本屆台灣館提名委員會代表</w:t>
      </w:r>
      <w:r w:rsidR="00725339"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吳達坤</w:t>
      </w:r>
      <w:r w:rsidR="00725339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、</w:t>
      </w:r>
      <w:proofErr w:type="gramStart"/>
      <w:r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游</w:t>
      </w:r>
      <w:proofErr w:type="gramEnd"/>
      <w:r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崴</w:t>
      </w:r>
      <w:r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、</w:t>
      </w:r>
      <w:r w:rsidR="00837DEC"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潘小雪</w:t>
      </w:r>
      <w:r w:rsidR="00725339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以及中國信託文教</w:t>
      </w:r>
      <w:r w:rsidR="00CD44DB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基金會代表</w:t>
      </w:r>
      <w:r w:rsidR="00CD237A" w:rsidRPr="00CD237A">
        <w:rPr>
          <w:rFonts w:ascii="標楷體" w:eastAsia="標楷體" w:hAnsi="標楷體" w:cs="新細明體"/>
          <w:color w:val="auto"/>
          <w:sz w:val="22"/>
          <w:szCs w:val="22"/>
          <w:u w:val="single"/>
          <w:bdr w:val="none" w:sz="0" w:space="0" w:color="auto"/>
        </w:rPr>
        <w:t>孫紀蘭</w:t>
      </w:r>
      <w:bookmarkStart w:id="1" w:name="_GoBack"/>
      <w:bookmarkEnd w:id="1"/>
      <w:r w:rsidR="003833D6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皆</w:t>
      </w:r>
      <w:r w:rsidR="00CD44DB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出席記者會</w:t>
      </w:r>
      <w:r w:rsidR="00627BB7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，</w:t>
      </w:r>
      <w:r w:rsidR="0046760B" w:rsidRPr="00CD237A">
        <w:rPr>
          <w:rFonts w:ascii="標楷體" w:eastAsia="標楷體" w:hAnsi="標楷體" w:cs="新細明體"/>
          <w:color w:val="auto"/>
          <w:sz w:val="22"/>
          <w:szCs w:val="22"/>
          <w:bdr w:val="none" w:sz="0" w:space="0" w:color="auto"/>
        </w:rPr>
        <w:t>共襄盛舉。</w:t>
      </w:r>
    </w:p>
    <w:p w14:paraId="29655663" w14:textId="77777777" w:rsidR="00725339" w:rsidRDefault="00725339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color w:val="auto"/>
          <w:sz w:val="22"/>
          <w:szCs w:val="22"/>
          <w:bdr w:val="none" w:sz="0" w:space="0" w:color="auto"/>
        </w:rPr>
      </w:pPr>
    </w:p>
    <w:p w14:paraId="23F89A67" w14:textId="77777777" w:rsidR="00093658" w:rsidRPr="003833D6" w:rsidRDefault="00093658" w:rsidP="00F73B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標楷體" w:eastAsia="標楷體" w:hAnsi="標楷體" w:cs="新細明體" w:hint="default"/>
          <w:sz w:val="22"/>
          <w:szCs w:val="22"/>
          <w:bdr w:val="none" w:sz="0" w:space="0" w:color="auto"/>
        </w:rPr>
      </w:pPr>
    </w:p>
    <w:sectPr w:rsidR="00093658" w:rsidRPr="003833D6" w:rsidSect="00CD44DB">
      <w:headerReference w:type="default" r:id="rId11"/>
      <w:footerReference w:type="default" r:id="rId12"/>
      <w:type w:val="continuous"/>
      <w:pgSz w:w="11900" w:h="16840"/>
      <w:pgMar w:top="1418" w:right="1418" w:bottom="1418" w:left="1418" w:header="851" w:footer="4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3459E" w14:textId="77777777" w:rsidR="007C254A" w:rsidRDefault="007C254A">
      <w:pPr>
        <w:rPr>
          <w:rFonts w:hint="default"/>
        </w:rPr>
      </w:pPr>
      <w:r>
        <w:separator/>
      </w:r>
    </w:p>
  </w:endnote>
  <w:endnote w:type="continuationSeparator" w:id="0">
    <w:p w14:paraId="145C8C27" w14:textId="77777777" w:rsidR="007C254A" w:rsidRDefault="007C254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1742" w14:textId="0A906EAC" w:rsidR="007C254A" w:rsidRDefault="007C254A">
    <w:pPr>
      <w:pStyle w:val="a5"/>
      <w:jc w:val="center"/>
    </w:pPr>
    <w:r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>
      <w:rPr>
        <w:rFonts w:ascii="Garamond" w:hAnsi="Garamond"/>
      </w:rPr>
      <w:fldChar w:fldCharType="separate"/>
    </w:r>
    <w:r w:rsidR="00E04343">
      <w:rPr>
        <w:rFonts w:ascii="Garamond" w:hAnsi="Garamond"/>
        <w:noProof/>
      </w:rPr>
      <w:t>1</w:t>
    </w:r>
    <w:r>
      <w:rPr>
        <w:rFonts w:ascii="Garamond" w:hAnsi="Garamond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1892" w14:textId="77777777" w:rsidR="007C254A" w:rsidRPr="006F3DDF" w:rsidRDefault="007C254A">
    <w:pPr>
      <w:pStyle w:val="a5"/>
      <w:jc w:val="center"/>
      <w:rPr>
        <w:rFonts w:ascii="Times New Roman" w:eastAsiaTheme="minorEastAsia" w:hAnsi="Times New Roman" w:cs="Times New Roman"/>
      </w:rPr>
    </w:pPr>
    <w:r w:rsidRPr="006F3DDF">
      <w:rPr>
        <w:rFonts w:ascii="Times New Roman" w:eastAsia="Garamond" w:hAnsi="Times New Roman" w:cs="Times New Roman"/>
      </w:rPr>
      <w:fldChar w:fldCharType="begin"/>
    </w:r>
    <w:r w:rsidRPr="006F3DDF">
      <w:rPr>
        <w:rFonts w:ascii="Times New Roman" w:eastAsia="Garamond" w:hAnsi="Times New Roman" w:cs="Times New Roman"/>
      </w:rPr>
      <w:instrText xml:space="preserve"> PAGE </w:instrText>
    </w:r>
    <w:r w:rsidRPr="006F3DDF">
      <w:rPr>
        <w:rFonts w:ascii="Times New Roman" w:eastAsia="Garamond" w:hAnsi="Times New Roman" w:cs="Times New Roman"/>
      </w:rPr>
      <w:fldChar w:fldCharType="separate"/>
    </w:r>
    <w:r w:rsidR="00E04343">
      <w:rPr>
        <w:rFonts w:ascii="Times New Roman" w:eastAsia="Garamond" w:hAnsi="Times New Roman" w:cs="Times New Roman"/>
        <w:noProof/>
      </w:rPr>
      <w:t>2</w:t>
    </w:r>
    <w:r w:rsidRPr="006F3DDF">
      <w:rPr>
        <w:rFonts w:ascii="Times New Roman" w:eastAsia="Garamond" w:hAnsi="Times New Roman" w:cs="Times New Roman"/>
      </w:rPr>
      <w:fldChar w:fldCharType="end"/>
    </w:r>
    <w:r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E660" w14:textId="77777777" w:rsidR="007C254A" w:rsidRDefault="007C254A">
      <w:pPr>
        <w:rPr>
          <w:rFonts w:hint="default"/>
        </w:rPr>
      </w:pPr>
      <w:r>
        <w:separator/>
      </w:r>
    </w:p>
  </w:footnote>
  <w:footnote w:type="continuationSeparator" w:id="0">
    <w:p w14:paraId="51554F65" w14:textId="77777777" w:rsidR="007C254A" w:rsidRDefault="007C254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EF6D" w14:textId="77777777" w:rsidR="007C254A" w:rsidRDefault="007C254A">
    <w:pPr>
      <w:pStyle w:val="a4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4AF3EB97" wp14:editId="0AA1EB62">
          <wp:simplePos x="0" y="0"/>
          <wp:positionH relativeFrom="page">
            <wp:posOffset>5587220</wp:posOffset>
          </wp:positionH>
          <wp:positionV relativeFrom="page">
            <wp:posOffset>368363</wp:posOffset>
          </wp:positionV>
          <wp:extent cx="1271270" cy="213360"/>
          <wp:effectExtent l="0" t="0" r="5080" b="0"/>
          <wp:wrapNone/>
          <wp:docPr id="1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458F" w14:textId="77777777" w:rsidR="007C254A" w:rsidRDefault="007C254A">
    <w:pPr>
      <w:pStyle w:val="a4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00CFB4D2" wp14:editId="5A42ED40">
          <wp:simplePos x="0" y="0"/>
          <wp:positionH relativeFrom="page">
            <wp:posOffset>5584190</wp:posOffset>
          </wp:positionH>
          <wp:positionV relativeFrom="page">
            <wp:posOffset>363220</wp:posOffset>
          </wp:positionV>
          <wp:extent cx="1271270" cy="213360"/>
          <wp:effectExtent l="0" t="0" r="5080" b="0"/>
          <wp:wrapNone/>
          <wp:docPr id="2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7887"/>
    <w:rsid w:val="00003A5A"/>
    <w:rsid w:val="00007DDE"/>
    <w:rsid w:val="00016F21"/>
    <w:rsid w:val="00021D2D"/>
    <w:rsid w:val="00026189"/>
    <w:rsid w:val="000308B5"/>
    <w:rsid w:val="000357AD"/>
    <w:rsid w:val="00041F25"/>
    <w:rsid w:val="00043956"/>
    <w:rsid w:val="000464C6"/>
    <w:rsid w:val="000467DC"/>
    <w:rsid w:val="0005204A"/>
    <w:rsid w:val="00053617"/>
    <w:rsid w:val="00053CEC"/>
    <w:rsid w:val="0006032C"/>
    <w:rsid w:val="000637E1"/>
    <w:rsid w:val="000728E3"/>
    <w:rsid w:val="00081BF2"/>
    <w:rsid w:val="0008457E"/>
    <w:rsid w:val="000905E3"/>
    <w:rsid w:val="00090732"/>
    <w:rsid w:val="00093658"/>
    <w:rsid w:val="000A21F6"/>
    <w:rsid w:val="000A47D0"/>
    <w:rsid w:val="000B4511"/>
    <w:rsid w:val="000C243A"/>
    <w:rsid w:val="000D41BC"/>
    <w:rsid w:val="000E2528"/>
    <w:rsid w:val="000F6E96"/>
    <w:rsid w:val="000F77F4"/>
    <w:rsid w:val="00102CA1"/>
    <w:rsid w:val="001036B8"/>
    <w:rsid w:val="00110C7F"/>
    <w:rsid w:val="00126EB6"/>
    <w:rsid w:val="0012764E"/>
    <w:rsid w:val="001402E5"/>
    <w:rsid w:val="001434E2"/>
    <w:rsid w:val="00144C8A"/>
    <w:rsid w:val="0014608A"/>
    <w:rsid w:val="00155F84"/>
    <w:rsid w:val="00165F15"/>
    <w:rsid w:val="001732F4"/>
    <w:rsid w:val="001753AD"/>
    <w:rsid w:val="00184A24"/>
    <w:rsid w:val="00195F89"/>
    <w:rsid w:val="001A4DFD"/>
    <w:rsid w:val="001B3197"/>
    <w:rsid w:val="001B449B"/>
    <w:rsid w:val="001C0FFC"/>
    <w:rsid w:val="001D05A5"/>
    <w:rsid w:val="001E33B3"/>
    <w:rsid w:val="001E6213"/>
    <w:rsid w:val="001F4DAD"/>
    <w:rsid w:val="002015CA"/>
    <w:rsid w:val="00201771"/>
    <w:rsid w:val="00204679"/>
    <w:rsid w:val="00205150"/>
    <w:rsid w:val="00221D2B"/>
    <w:rsid w:val="00222DC8"/>
    <w:rsid w:val="002238B9"/>
    <w:rsid w:val="0023541F"/>
    <w:rsid w:val="00247ECF"/>
    <w:rsid w:val="002519B3"/>
    <w:rsid w:val="00266AFF"/>
    <w:rsid w:val="002718C9"/>
    <w:rsid w:val="00272FDD"/>
    <w:rsid w:val="00277626"/>
    <w:rsid w:val="00291220"/>
    <w:rsid w:val="00293C5A"/>
    <w:rsid w:val="0029685C"/>
    <w:rsid w:val="00297ADE"/>
    <w:rsid w:val="002A1A74"/>
    <w:rsid w:val="002A2C3D"/>
    <w:rsid w:val="002A71BA"/>
    <w:rsid w:val="002B2B7C"/>
    <w:rsid w:val="002B7023"/>
    <w:rsid w:val="002C070B"/>
    <w:rsid w:val="002C0FC2"/>
    <w:rsid w:val="002C3630"/>
    <w:rsid w:val="002D1A3C"/>
    <w:rsid w:val="002D23D9"/>
    <w:rsid w:val="002E75EB"/>
    <w:rsid w:val="002F66BC"/>
    <w:rsid w:val="002F6981"/>
    <w:rsid w:val="0030257F"/>
    <w:rsid w:val="00305B53"/>
    <w:rsid w:val="0032460A"/>
    <w:rsid w:val="00325408"/>
    <w:rsid w:val="00325741"/>
    <w:rsid w:val="003339FE"/>
    <w:rsid w:val="003450D6"/>
    <w:rsid w:val="00345AE4"/>
    <w:rsid w:val="003463BC"/>
    <w:rsid w:val="00355A5E"/>
    <w:rsid w:val="003610DD"/>
    <w:rsid w:val="00361ED4"/>
    <w:rsid w:val="00364318"/>
    <w:rsid w:val="003739CA"/>
    <w:rsid w:val="00374031"/>
    <w:rsid w:val="00376E5B"/>
    <w:rsid w:val="003833D6"/>
    <w:rsid w:val="00384A76"/>
    <w:rsid w:val="003935E2"/>
    <w:rsid w:val="003A3BEE"/>
    <w:rsid w:val="003B5719"/>
    <w:rsid w:val="003C2CB7"/>
    <w:rsid w:val="003D0147"/>
    <w:rsid w:val="003D3A8E"/>
    <w:rsid w:val="003D5116"/>
    <w:rsid w:val="003E0FA9"/>
    <w:rsid w:val="003E34BF"/>
    <w:rsid w:val="003F1849"/>
    <w:rsid w:val="003F2AF0"/>
    <w:rsid w:val="003F66E0"/>
    <w:rsid w:val="00400C4D"/>
    <w:rsid w:val="00402090"/>
    <w:rsid w:val="00411A10"/>
    <w:rsid w:val="00420DD2"/>
    <w:rsid w:val="00424E64"/>
    <w:rsid w:val="004251F5"/>
    <w:rsid w:val="004335CE"/>
    <w:rsid w:val="00434920"/>
    <w:rsid w:val="004405C1"/>
    <w:rsid w:val="00450BD8"/>
    <w:rsid w:val="00454026"/>
    <w:rsid w:val="00454DFB"/>
    <w:rsid w:val="0046760B"/>
    <w:rsid w:val="00474165"/>
    <w:rsid w:val="00474B17"/>
    <w:rsid w:val="004768B7"/>
    <w:rsid w:val="004829B7"/>
    <w:rsid w:val="00486B1F"/>
    <w:rsid w:val="004878EF"/>
    <w:rsid w:val="00495216"/>
    <w:rsid w:val="00496B97"/>
    <w:rsid w:val="004A180D"/>
    <w:rsid w:val="004A1BC9"/>
    <w:rsid w:val="004B55C5"/>
    <w:rsid w:val="004D1FC4"/>
    <w:rsid w:val="004D2741"/>
    <w:rsid w:val="004D3903"/>
    <w:rsid w:val="004E11DA"/>
    <w:rsid w:val="004E25EA"/>
    <w:rsid w:val="004E7268"/>
    <w:rsid w:val="004F6497"/>
    <w:rsid w:val="0050113B"/>
    <w:rsid w:val="00512882"/>
    <w:rsid w:val="00523C4B"/>
    <w:rsid w:val="005242D7"/>
    <w:rsid w:val="00531905"/>
    <w:rsid w:val="00532FD7"/>
    <w:rsid w:val="00533327"/>
    <w:rsid w:val="0053688B"/>
    <w:rsid w:val="0054426B"/>
    <w:rsid w:val="00545F36"/>
    <w:rsid w:val="0055028F"/>
    <w:rsid w:val="0055746F"/>
    <w:rsid w:val="00561082"/>
    <w:rsid w:val="005642EE"/>
    <w:rsid w:val="00573965"/>
    <w:rsid w:val="0057413F"/>
    <w:rsid w:val="005909F8"/>
    <w:rsid w:val="005A2AC4"/>
    <w:rsid w:val="005A37CD"/>
    <w:rsid w:val="005A3ADE"/>
    <w:rsid w:val="005A48D9"/>
    <w:rsid w:val="005B040E"/>
    <w:rsid w:val="005B299C"/>
    <w:rsid w:val="005B3005"/>
    <w:rsid w:val="005B546B"/>
    <w:rsid w:val="005C1F0E"/>
    <w:rsid w:val="005C5166"/>
    <w:rsid w:val="005D20F6"/>
    <w:rsid w:val="005D503F"/>
    <w:rsid w:val="005E220F"/>
    <w:rsid w:val="005F794D"/>
    <w:rsid w:val="00600BFC"/>
    <w:rsid w:val="0060628B"/>
    <w:rsid w:val="00606FB1"/>
    <w:rsid w:val="00622B17"/>
    <w:rsid w:val="00623381"/>
    <w:rsid w:val="00627BB7"/>
    <w:rsid w:val="006363FE"/>
    <w:rsid w:val="0064020B"/>
    <w:rsid w:val="006424BE"/>
    <w:rsid w:val="00655311"/>
    <w:rsid w:val="0066187A"/>
    <w:rsid w:val="00661CB1"/>
    <w:rsid w:val="0066230D"/>
    <w:rsid w:val="00666778"/>
    <w:rsid w:val="0068053C"/>
    <w:rsid w:val="00681A2C"/>
    <w:rsid w:val="00683478"/>
    <w:rsid w:val="0068743C"/>
    <w:rsid w:val="006919C0"/>
    <w:rsid w:val="00694370"/>
    <w:rsid w:val="0069495D"/>
    <w:rsid w:val="006A5C01"/>
    <w:rsid w:val="006A6447"/>
    <w:rsid w:val="006A7B28"/>
    <w:rsid w:val="006A7CDE"/>
    <w:rsid w:val="006C52AB"/>
    <w:rsid w:val="006C7448"/>
    <w:rsid w:val="006E06C4"/>
    <w:rsid w:val="006E3B6E"/>
    <w:rsid w:val="006E3C11"/>
    <w:rsid w:val="006E66C7"/>
    <w:rsid w:val="006E6B65"/>
    <w:rsid w:val="006F2574"/>
    <w:rsid w:val="006F3DDF"/>
    <w:rsid w:val="00703B78"/>
    <w:rsid w:val="00703CB8"/>
    <w:rsid w:val="00707854"/>
    <w:rsid w:val="0071098E"/>
    <w:rsid w:val="007121C1"/>
    <w:rsid w:val="00725339"/>
    <w:rsid w:val="00730DFB"/>
    <w:rsid w:val="0073296C"/>
    <w:rsid w:val="00732FAE"/>
    <w:rsid w:val="0073608D"/>
    <w:rsid w:val="00741732"/>
    <w:rsid w:val="00746320"/>
    <w:rsid w:val="00754F32"/>
    <w:rsid w:val="0075635D"/>
    <w:rsid w:val="00767903"/>
    <w:rsid w:val="00782ED5"/>
    <w:rsid w:val="00784B7C"/>
    <w:rsid w:val="007862A9"/>
    <w:rsid w:val="007A1FE3"/>
    <w:rsid w:val="007A491D"/>
    <w:rsid w:val="007A7290"/>
    <w:rsid w:val="007A737D"/>
    <w:rsid w:val="007C254A"/>
    <w:rsid w:val="007C5E47"/>
    <w:rsid w:val="007E0299"/>
    <w:rsid w:val="007E209E"/>
    <w:rsid w:val="007E245A"/>
    <w:rsid w:val="007E4DA0"/>
    <w:rsid w:val="007F4092"/>
    <w:rsid w:val="00802BCB"/>
    <w:rsid w:val="0080462D"/>
    <w:rsid w:val="00817A8E"/>
    <w:rsid w:val="008353D1"/>
    <w:rsid w:val="00835928"/>
    <w:rsid w:val="00836029"/>
    <w:rsid w:val="0083613E"/>
    <w:rsid w:val="008371F7"/>
    <w:rsid w:val="00837DEC"/>
    <w:rsid w:val="0084047E"/>
    <w:rsid w:val="00841022"/>
    <w:rsid w:val="00847AEF"/>
    <w:rsid w:val="008503EB"/>
    <w:rsid w:val="008549C7"/>
    <w:rsid w:val="00857787"/>
    <w:rsid w:val="00867D87"/>
    <w:rsid w:val="00870100"/>
    <w:rsid w:val="00881507"/>
    <w:rsid w:val="008900EF"/>
    <w:rsid w:val="008957EB"/>
    <w:rsid w:val="00896345"/>
    <w:rsid w:val="008C2AAB"/>
    <w:rsid w:val="008C7E6D"/>
    <w:rsid w:val="008D12D1"/>
    <w:rsid w:val="008E1693"/>
    <w:rsid w:val="008E28C0"/>
    <w:rsid w:val="008E67B5"/>
    <w:rsid w:val="008F5089"/>
    <w:rsid w:val="008F7735"/>
    <w:rsid w:val="009128AF"/>
    <w:rsid w:val="00913E2A"/>
    <w:rsid w:val="0092605B"/>
    <w:rsid w:val="00932DB6"/>
    <w:rsid w:val="00941258"/>
    <w:rsid w:val="00942757"/>
    <w:rsid w:val="009429CE"/>
    <w:rsid w:val="00956435"/>
    <w:rsid w:val="0095654A"/>
    <w:rsid w:val="00963C03"/>
    <w:rsid w:val="00987887"/>
    <w:rsid w:val="009A6F73"/>
    <w:rsid w:val="009C5371"/>
    <w:rsid w:val="009C59F4"/>
    <w:rsid w:val="009D6CEC"/>
    <w:rsid w:val="009F42AB"/>
    <w:rsid w:val="009F5CE4"/>
    <w:rsid w:val="00A03D26"/>
    <w:rsid w:val="00A25D80"/>
    <w:rsid w:val="00A34FA4"/>
    <w:rsid w:val="00A41A42"/>
    <w:rsid w:val="00A55160"/>
    <w:rsid w:val="00A67B83"/>
    <w:rsid w:val="00A67DB7"/>
    <w:rsid w:val="00A80651"/>
    <w:rsid w:val="00A82A43"/>
    <w:rsid w:val="00AA04DF"/>
    <w:rsid w:val="00AA4FBF"/>
    <w:rsid w:val="00AB4845"/>
    <w:rsid w:val="00AC2FB8"/>
    <w:rsid w:val="00AC775A"/>
    <w:rsid w:val="00AC7BA9"/>
    <w:rsid w:val="00AD6007"/>
    <w:rsid w:val="00AD6A15"/>
    <w:rsid w:val="00AE03D5"/>
    <w:rsid w:val="00AE21F3"/>
    <w:rsid w:val="00AE39CC"/>
    <w:rsid w:val="00AE6D2B"/>
    <w:rsid w:val="00AF72A1"/>
    <w:rsid w:val="00B00D6F"/>
    <w:rsid w:val="00B02CAA"/>
    <w:rsid w:val="00B22B37"/>
    <w:rsid w:val="00B24C66"/>
    <w:rsid w:val="00B24D8C"/>
    <w:rsid w:val="00B26290"/>
    <w:rsid w:val="00B26AD1"/>
    <w:rsid w:val="00B27256"/>
    <w:rsid w:val="00B33943"/>
    <w:rsid w:val="00B370CD"/>
    <w:rsid w:val="00B379B3"/>
    <w:rsid w:val="00B43607"/>
    <w:rsid w:val="00B44B12"/>
    <w:rsid w:val="00B45514"/>
    <w:rsid w:val="00B5294D"/>
    <w:rsid w:val="00B61D38"/>
    <w:rsid w:val="00B75720"/>
    <w:rsid w:val="00B86D42"/>
    <w:rsid w:val="00B91D17"/>
    <w:rsid w:val="00BA4613"/>
    <w:rsid w:val="00BA688A"/>
    <w:rsid w:val="00BB7BC4"/>
    <w:rsid w:val="00BC204F"/>
    <w:rsid w:val="00BC2D90"/>
    <w:rsid w:val="00BF06FC"/>
    <w:rsid w:val="00BF172B"/>
    <w:rsid w:val="00BF346F"/>
    <w:rsid w:val="00BF7A6D"/>
    <w:rsid w:val="00C071A7"/>
    <w:rsid w:val="00C21242"/>
    <w:rsid w:val="00C23127"/>
    <w:rsid w:val="00C45B2D"/>
    <w:rsid w:val="00C524C2"/>
    <w:rsid w:val="00C558C3"/>
    <w:rsid w:val="00C64E12"/>
    <w:rsid w:val="00C7289F"/>
    <w:rsid w:val="00C75B84"/>
    <w:rsid w:val="00C85A59"/>
    <w:rsid w:val="00CA0CF0"/>
    <w:rsid w:val="00CA33EE"/>
    <w:rsid w:val="00CA37E0"/>
    <w:rsid w:val="00CA49BE"/>
    <w:rsid w:val="00CA6DCB"/>
    <w:rsid w:val="00CA7385"/>
    <w:rsid w:val="00CB06AD"/>
    <w:rsid w:val="00CB5513"/>
    <w:rsid w:val="00CB7241"/>
    <w:rsid w:val="00CD237A"/>
    <w:rsid w:val="00CD3DFC"/>
    <w:rsid w:val="00CD44DB"/>
    <w:rsid w:val="00CE50F7"/>
    <w:rsid w:val="00CF54A1"/>
    <w:rsid w:val="00CF6B0F"/>
    <w:rsid w:val="00D02838"/>
    <w:rsid w:val="00D0504C"/>
    <w:rsid w:val="00D10A1E"/>
    <w:rsid w:val="00D172BA"/>
    <w:rsid w:val="00D2178E"/>
    <w:rsid w:val="00D24153"/>
    <w:rsid w:val="00D32235"/>
    <w:rsid w:val="00D334FF"/>
    <w:rsid w:val="00D41C3E"/>
    <w:rsid w:val="00D50EF0"/>
    <w:rsid w:val="00D57062"/>
    <w:rsid w:val="00D67821"/>
    <w:rsid w:val="00D72E33"/>
    <w:rsid w:val="00D84C33"/>
    <w:rsid w:val="00D874B2"/>
    <w:rsid w:val="00D933BD"/>
    <w:rsid w:val="00D94CC0"/>
    <w:rsid w:val="00DA4537"/>
    <w:rsid w:val="00DA579C"/>
    <w:rsid w:val="00DC3A89"/>
    <w:rsid w:val="00DC4A37"/>
    <w:rsid w:val="00DD01B9"/>
    <w:rsid w:val="00DD2E05"/>
    <w:rsid w:val="00DD6BEB"/>
    <w:rsid w:val="00DD7F18"/>
    <w:rsid w:val="00DF60A4"/>
    <w:rsid w:val="00DF7A0C"/>
    <w:rsid w:val="00E04343"/>
    <w:rsid w:val="00E124CE"/>
    <w:rsid w:val="00E13847"/>
    <w:rsid w:val="00E14A43"/>
    <w:rsid w:val="00E15704"/>
    <w:rsid w:val="00E2175D"/>
    <w:rsid w:val="00E26341"/>
    <w:rsid w:val="00E322DC"/>
    <w:rsid w:val="00E3255B"/>
    <w:rsid w:val="00E41B75"/>
    <w:rsid w:val="00E440CA"/>
    <w:rsid w:val="00E46A95"/>
    <w:rsid w:val="00E47C74"/>
    <w:rsid w:val="00E57A1A"/>
    <w:rsid w:val="00E57E60"/>
    <w:rsid w:val="00E644B6"/>
    <w:rsid w:val="00E66CA2"/>
    <w:rsid w:val="00E67135"/>
    <w:rsid w:val="00E70076"/>
    <w:rsid w:val="00E71E60"/>
    <w:rsid w:val="00E741A1"/>
    <w:rsid w:val="00E74A73"/>
    <w:rsid w:val="00E74CBA"/>
    <w:rsid w:val="00E82063"/>
    <w:rsid w:val="00E84D8E"/>
    <w:rsid w:val="00E86274"/>
    <w:rsid w:val="00E917E7"/>
    <w:rsid w:val="00EA7B92"/>
    <w:rsid w:val="00EC168F"/>
    <w:rsid w:val="00EC38B4"/>
    <w:rsid w:val="00EC3EA5"/>
    <w:rsid w:val="00EC5F78"/>
    <w:rsid w:val="00EC7734"/>
    <w:rsid w:val="00EE17FF"/>
    <w:rsid w:val="00EE4F64"/>
    <w:rsid w:val="00EF30DE"/>
    <w:rsid w:val="00EF762D"/>
    <w:rsid w:val="00F02DCA"/>
    <w:rsid w:val="00F05AEA"/>
    <w:rsid w:val="00F20741"/>
    <w:rsid w:val="00F2260C"/>
    <w:rsid w:val="00F248F8"/>
    <w:rsid w:val="00F24C80"/>
    <w:rsid w:val="00F378C2"/>
    <w:rsid w:val="00F441EB"/>
    <w:rsid w:val="00F4779A"/>
    <w:rsid w:val="00F50A66"/>
    <w:rsid w:val="00F52E24"/>
    <w:rsid w:val="00F532C3"/>
    <w:rsid w:val="00F541DC"/>
    <w:rsid w:val="00F605BC"/>
    <w:rsid w:val="00F63960"/>
    <w:rsid w:val="00F6752B"/>
    <w:rsid w:val="00F73BD3"/>
    <w:rsid w:val="00F7413F"/>
    <w:rsid w:val="00F82390"/>
    <w:rsid w:val="00F8658C"/>
    <w:rsid w:val="00FA1910"/>
    <w:rsid w:val="00FA45FA"/>
    <w:rsid w:val="00FB1478"/>
    <w:rsid w:val="00FD1F95"/>
    <w:rsid w:val="00FD5649"/>
    <w:rsid w:val="00FE1AFC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8943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3oh-">
    <w:name w:val="_3oh-"/>
    <w:basedOn w:val="a0"/>
    <w:rsid w:val="006A6447"/>
  </w:style>
  <w:style w:type="paragraph" w:customStyle="1" w:styleId="gmail-p1">
    <w:name w:val="gmail-p1"/>
    <w:basedOn w:val="a"/>
    <w:rsid w:val="00835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gmail-s1">
    <w:name w:val="gmail-s1"/>
    <w:basedOn w:val="a0"/>
    <w:rsid w:val="00835928"/>
  </w:style>
  <w:style w:type="character" w:customStyle="1" w:styleId="gmail-s2">
    <w:name w:val="gmail-s2"/>
    <w:basedOn w:val="a0"/>
    <w:rsid w:val="00835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footnote text"/>
    <w:basedOn w:val="a"/>
    <w:link w:val="a9"/>
    <w:uiPriority w:val="99"/>
    <w:semiHidden/>
    <w:unhideWhenUsed/>
    <w:rsid w:val="00081BF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081BF2"/>
    <w:rPr>
      <w:rFonts w:ascii="Arial Unicode MS" w:eastAsia="新細明體" w:hAnsi="Arial Unicode MS" w:cs="Arial Unicode MS"/>
      <w:color w:val="000000"/>
      <w:u w:color="000000"/>
    </w:rPr>
  </w:style>
  <w:style w:type="character" w:styleId="aa">
    <w:name w:val="footnote reference"/>
    <w:basedOn w:val="a0"/>
    <w:uiPriority w:val="99"/>
    <w:semiHidden/>
    <w:unhideWhenUsed/>
    <w:rsid w:val="00081BF2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47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AEF"/>
  </w:style>
  <w:style w:type="character" w:customStyle="1" w:styleId="ad">
    <w:name w:val="註解文字 字元"/>
    <w:basedOn w:val="a0"/>
    <w:link w:val="ac"/>
    <w:uiPriority w:val="99"/>
    <w:semiHidden/>
    <w:rsid w:val="00847AEF"/>
    <w:rPr>
      <w:rFonts w:ascii="Arial Unicode MS" w:eastAsia="新細明體" w:hAnsi="Arial Unicode MS" w:cs="Arial Unicode MS"/>
      <w:color w:val="000000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A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47AEF"/>
    <w:rPr>
      <w:rFonts w:ascii="Arial Unicode MS" w:eastAsia="新細明體" w:hAnsi="Arial Unicode MS" w:cs="Arial Unicode MS"/>
      <w:b/>
      <w:bCs/>
      <w:color w:val="000000"/>
      <w:sz w:val="24"/>
      <w:szCs w:val="24"/>
      <w:u w:color="000000"/>
    </w:rPr>
  </w:style>
  <w:style w:type="paragraph" w:styleId="af0">
    <w:name w:val="Revision"/>
    <w:hidden/>
    <w:uiPriority w:val="99"/>
    <w:semiHidden/>
    <w:rsid w:val="00847A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table" w:styleId="af1">
    <w:name w:val="Table Grid"/>
    <w:basedOn w:val="a1"/>
    <w:uiPriority w:val="59"/>
    <w:rsid w:val="00F0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271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3oh-">
    <w:name w:val="_3oh-"/>
    <w:basedOn w:val="a0"/>
    <w:rsid w:val="006A6447"/>
  </w:style>
  <w:style w:type="paragraph" w:customStyle="1" w:styleId="gmail-p1">
    <w:name w:val="gmail-p1"/>
    <w:basedOn w:val="a"/>
    <w:rsid w:val="00835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hAnsi="新細明體" w:cs="新細明體" w:hint="default"/>
      <w:color w:val="auto"/>
      <w:bdr w:val="none" w:sz="0" w:space="0" w:color="auto"/>
    </w:rPr>
  </w:style>
  <w:style w:type="character" w:customStyle="1" w:styleId="gmail-s1">
    <w:name w:val="gmail-s1"/>
    <w:basedOn w:val="a0"/>
    <w:rsid w:val="00835928"/>
  </w:style>
  <w:style w:type="character" w:customStyle="1" w:styleId="gmail-s2">
    <w:name w:val="gmail-s2"/>
    <w:basedOn w:val="a0"/>
    <w:rsid w:val="0083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43A9-322B-497A-85D7-2706E917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4</cp:revision>
  <cp:lastPrinted>2019-03-22T05:12:00Z</cp:lastPrinted>
  <dcterms:created xsi:type="dcterms:W3CDTF">2019-03-22T05:12:00Z</dcterms:created>
  <dcterms:modified xsi:type="dcterms:W3CDTF">2019-03-22T05:13:00Z</dcterms:modified>
</cp:coreProperties>
</file>