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7C0D5" w14:textId="2C0E7012" w:rsidR="00726F23" w:rsidRDefault="00A13B9A">
      <w:pPr>
        <w:pStyle w:val="BodyA"/>
        <w:spacing w:line="360" w:lineRule="auto"/>
        <w:rPr>
          <w:rFonts w:ascii="Times New Roman Bold" w:eastAsia="Times New Roman Bold" w:hAnsi="Times New Roman Bold" w:cs="Times New Roman Bold"/>
          <w:sz w:val="28"/>
          <w:szCs w:val="28"/>
        </w:rPr>
      </w:pPr>
      <w:bookmarkStart w:id="0" w:name="_GoBack"/>
      <w:r>
        <w:rPr>
          <w:noProof/>
        </w:rPr>
        <w:drawing>
          <wp:anchor distT="152400" distB="152400" distL="152400" distR="152400" simplePos="0" relativeHeight="251659264" behindDoc="1" locked="0" layoutInCell="1" allowOverlap="1" wp14:anchorId="554D4775" wp14:editId="378D6FE4">
            <wp:simplePos x="0" y="0"/>
            <wp:positionH relativeFrom="page">
              <wp:posOffset>5954395</wp:posOffset>
            </wp:positionH>
            <wp:positionV relativeFrom="page">
              <wp:posOffset>352425</wp:posOffset>
            </wp:positionV>
            <wp:extent cx="1271270" cy="213360"/>
            <wp:effectExtent l="0" t="0" r="5080" b="0"/>
            <wp:wrapNone/>
            <wp:docPr id="2" name="officeArt object" descr="D:\推廣組\推廣組舊檔\圖檔\館徽+中英.tif"/>
            <wp:cNvGraphicFramePr/>
            <a:graphic xmlns:a="http://schemas.openxmlformats.org/drawingml/2006/main">
              <a:graphicData uri="http://schemas.openxmlformats.org/drawingml/2006/picture">
                <pic:pic xmlns:pic="http://schemas.openxmlformats.org/drawingml/2006/picture">
                  <pic:nvPicPr>
                    <pic:cNvPr id="1073741825" name="image1.png" descr="D:\推廣組\推廣組舊檔\圖檔\館徽+中英.tif"/>
                    <pic:cNvPicPr>
                      <a:picLocks noChangeAspect="1"/>
                    </pic:cNvPicPr>
                  </pic:nvPicPr>
                  <pic:blipFill>
                    <a:blip r:embed="rId7">
                      <a:extLst/>
                    </a:blip>
                    <a:stretch>
                      <a:fillRect/>
                    </a:stretch>
                  </pic:blipFill>
                  <pic:spPr>
                    <a:xfrm>
                      <a:off x="0" y="0"/>
                      <a:ext cx="1271270" cy="213360"/>
                    </a:xfrm>
                    <a:prstGeom prst="rect">
                      <a:avLst/>
                    </a:prstGeom>
                    <a:ln w="12700" cap="flat">
                      <a:noFill/>
                      <a:miter lim="400000"/>
                    </a:ln>
                    <a:effectLst/>
                  </pic:spPr>
                </pic:pic>
              </a:graphicData>
            </a:graphic>
          </wp:anchor>
        </w:drawing>
      </w:r>
      <w:bookmarkEnd w:id="0"/>
      <w:r w:rsidR="00FC185F">
        <w:rPr>
          <w:rFonts w:ascii="Times New Roman Bold"/>
          <w:sz w:val="28"/>
          <w:szCs w:val="28"/>
        </w:rPr>
        <w:t>Post-Nature</w:t>
      </w:r>
      <w:r w:rsidR="00EC113C" w:rsidRPr="00816A2B">
        <w:rPr>
          <w:rFonts w:ascii="Times New Roman" w:hAnsi="Times New Roman" w:cs="Times New Roman"/>
          <w:b/>
          <w:bCs/>
          <w:i/>
          <w:iCs/>
          <w:color w:val="232323"/>
          <w:sz w:val="28"/>
          <w:szCs w:val="28"/>
          <w:u w:color="232323"/>
        </w:rPr>
        <w:t>—</w:t>
      </w:r>
      <w:r w:rsidR="00FC185F">
        <w:rPr>
          <w:rFonts w:ascii="Times New Roman Bold"/>
          <w:sz w:val="28"/>
          <w:szCs w:val="28"/>
        </w:rPr>
        <w:t>A Museum as an Ecosystem</w:t>
      </w:r>
    </w:p>
    <w:p w14:paraId="1CAD95C8" w14:textId="77777777" w:rsidR="00726F23" w:rsidRDefault="00FC185F">
      <w:pPr>
        <w:pStyle w:val="BodyA"/>
        <w:spacing w:line="360" w:lineRule="auto"/>
        <w:rPr>
          <w:rFonts w:ascii="Times New Roman" w:eastAsia="Times New Roman" w:hAnsi="Times New Roman" w:cs="Times New Roman"/>
          <w:sz w:val="24"/>
          <w:szCs w:val="24"/>
        </w:rPr>
      </w:pPr>
      <w:r>
        <w:rPr>
          <w:rFonts w:ascii="Times New Roman"/>
          <w:sz w:val="24"/>
          <w:szCs w:val="24"/>
        </w:rPr>
        <w:t>Mali Wu and Francesco Manacorda</w:t>
      </w:r>
    </w:p>
    <w:p w14:paraId="4A57CA6F" w14:textId="77777777" w:rsidR="00726F23" w:rsidRDefault="00726F23">
      <w:pPr>
        <w:pStyle w:val="BodyA"/>
        <w:spacing w:line="360" w:lineRule="auto"/>
        <w:rPr>
          <w:rFonts w:ascii="Times New Roman" w:eastAsia="Times New Roman" w:hAnsi="Times New Roman" w:cs="Times New Roman"/>
          <w:sz w:val="24"/>
          <w:szCs w:val="24"/>
        </w:rPr>
      </w:pPr>
    </w:p>
    <w:p w14:paraId="24FDE7AE" w14:textId="31BC56DA" w:rsidR="00726F23" w:rsidRDefault="00FC185F">
      <w:pPr>
        <w:pStyle w:val="BodyA"/>
        <w:widowControl w:val="0"/>
        <w:spacing w:line="360" w:lineRule="auto"/>
        <w:rPr>
          <w:rFonts w:ascii="Times New Roman"/>
          <w:sz w:val="24"/>
          <w:szCs w:val="24"/>
        </w:rPr>
      </w:pPr>
      <w:r>
        <w:rPr>
          <w:rFonts w:ascii="Times New Roman"/>
          <w:sz w:val="24"/>
          <w:szCs w:val="24"/>
        </w:rPr>
        <w:t xml:space="preserve">Throughout the </w:t>
      </w:r>
      <w:r w:rsidR="004B7792">
        <w:rPr>
          <w:rFonts w:ascii="Times New Roman"/>
          <w:sz w:val="24"/>
          <w:szCs w:val="24"/>
        </w:rPr>
        <w:t>course</w:t>
      </w:r>
      <w:r>
        <w:rPr>
          <w:rFonts w:ascii="Times New Roman"/>
          <w:sz w:val="24"/>
          <w:szCs w:val="24"/>
        </w:rPr>
        <w:t xml:space="preserve"> of civilisation, </w:t>
      </w:r>
      <w:r w:rsidR="004B7792">
        <w:rPr>
          <w:rFonts w:ascii="Times New Roman"/>
          <w:sz w:val="24"/>
          <w:szCs w:val="24"/>
        </w:rPr>
        <w:t>hu</w:t>
      </w:r>
      <w:r>
        <w:rPr>
          <w:rFonts w:ascii="Times New Roman"/>
          <w:sz w:val="24"/>
          <w:szCs w:val="24"/>
        </w:rPr>
        <w:t>mankind has always faced challenges from its</w:t>
      </w:r>
      <w:r w:rsidR="00EC113C">
        <w:rPr>
          <w:rFonts w:ascii="Times New Roman"/>
          <w:sz w:val="24"/>
          <w:szCs w:val="24"/>
        </w:rPr>
        <w:t xml:space="preserve"> </w:t>
      </w:r>
      <w:r>
        <w:rPr>
          <w:rFonts w:ascii="Times New Roman"/>
          <w:sz w:val="24"/>
          <w:szCs w:val="24"/>
        </w:rPr>
        <w:t>environment</w:t>
      </w:r>
      <w:r w:rsidR="003E495C">
        <w:rPr>
          <w:rFonts w:ascii="Times New Roman"/>
          <w:sz w:val="24"/>
          <w:szCs w:val="24"/>
        </w:rPr>
        <w:t>;</w:t>
      </w:r>
      <w:r>
        <w:rPr>
          <w:rFonts w:ascii="Times New Roman"/>
          <w:sz w:val="24"/>
          <w:szCs w:val="24"/>
        </w:rPr>
        <w:t xml:space="preserve"> however</w:t>
      </w:r>
      <w:r w:rsidR="003E495C">
        <w:rPr>
          <w:rFonts w:ascii="Times New Roman"/>
          <w:sz w:val="24"/>
          <w:szCs w:val="24"/>
        </w:rPr>
        <w:t>,</w:t>
      </w:r>
      <w:r>
        <w:rPr>
          <w:rFonts w:ascii="Times New Roman"/>
          <w:sz w:val="24"/>
          <w:szCs w:val="24"/>
        </w:rPr>
        <w:t xml:space="preserve"> in recent decades these </w:t>
      </w:r>
      <w:r w:rsidR="004B7792">
        <w:rPr>
          <w:rFonts w:ascii="Times New Roman"/>
          <w:sz w:val="24"/>
          <w:szCs w:val="24"/>
        </w:rPr>
        <w:t xml:space="preserve">challenges </w:t>
      </w:r>
      <w:r>
        <w:rPr>
          <w:rFonts w:ascii="Times New Roman"/>
          <w:sz w:val="24"/>
          <w:szCs w:val="24"/>
        </w:rPr>
        <w:t>have accelerated</w:t>
      </w:r>
      <w:r w:rsidR="004B7792">
        <w:rPr>
          <w:rFonts w:ascii="Times New Roman"/>
          <w:sz w:val="24"/>
          <w:szCs w:val="24"/>
        </w:rPr>
        <w:t>,</w:t>
      </w:r>
      <w:r>
        <w:rPr>
          <w:rFonts w:ascii="Times New Roman"/>
          <w:sz w:val="24"/>
          <w:szCs w:val="24"/>
        </w:rPr>
        <w:t xml:space="preserve"> </w:t>
      </w:r>
      <w:r w:rsidR="004B7792">
        <w:rPr>
          <w:rFonts w:ascii="Times New Roman"/>
          <w:sz w:val="24"/>
          <w:szCs w:val="24"/>
        </w:rPr>
        <w:t>exponentially increasing</w:t>
      </w:r>
      <w:r>
        <w:rPr>
          <w:rFonts w:ascii="Times New Roman"/>
          <w:sz w:val="24"/>
          <w:szCs w:val="24"/>
        </w:rPr>
        <w:t xml:space="preserve"> the risk of overall destruction. While we constantly change and improve our own ways of living through technological development, today we face a greater responsibility to protect the interdependencies that hold our ecosystems together. </w:t>
      </w:r>
    </w:p>
    <w:p w14:paraId="3BADD281" w14:textId="77777777" w:rsidR="00EC113C" w:rsidRDefault="00EC113C">
      <w:pPr>
        <w:pStyle w:val="BodyA"/>
        <w:widowControl w:val="0"/>
        <w:spacing w:line="360" w:lineRule="auto"/>
        <w:rPr>
          <w:rFonts w:ascii="Times New Roman" w:eastAsia="Times New Roman" w:hAnsi="Times New Roman" w:cs="Times New Roman"/>
          <w:sz w:val="24"/>
          <w:szCs w:val="24"/>
        </w:rPr>
      </w:pPr>
    </w:p>
    <w:p w14:paraId="167185F8" w14:textId="4A07D8F9" w:rsidR="00726F23" w:rsidRDefault="00FC185F">
      <w:pPr>
        <w:pStyle w:val="BodyA"/>
        <w:widowControl w:val="0"/>
        <w:spacing w:line="360" w:lineRule="auto"/>
        <w:rPr>
          <w:rFonts w:ascii="Times New Roman"/>
          <w:sz w:val="24"/>
          <w:szCs w:val="24"/>
        </w:rPr>
      </w:pPr>
      <w:r>
        <w:rPr>
          <w:rFonts w:ascii="Times New Roman"/>
          <w:sz w:val="24"/>
          <w:szCs w:val="24"/>
        </w:rPr>
        <w:t xml:space="preserve">Since the beginning of time, politics and economics have been concerned with forward progression and human survival; this is now beginning to evolve into a search for new and experimental plans for sustainability, enabling the survival of both human and non-human beings. </w:t>
      </w:r>
      <w:r w:rsidR="004B7792">
        <w:rPr>
          <w:rFonts w:ascii="Times New Roman"/>
          <w:sz w:val="24"/>
          <w:szCs w:val="24"/>
        </w:rPr>
        <w:t>Project</w:t>
      </w:r>
      <w:r>
        <w:rPr>
          <w:rFonts w:ascii="Times New Roman"/>
          <w:sz w:val="24"/>
          <w:szCs w:val="24"/>
        </w:rPr>
        <w:t xml:space="preserve">ing into the post-human world, artists are specially positioned to imagine and invent methods by which we can maintain biodiversity and strengthen the fragile interdependence </w:t>
      </w:r>
      <w:r w:rsidR="004B7792">
        <w:rPr>
          <w:rFonts w:ascii="Times New Roman"/>
          <w:sz w:val="24"/>
          <w:szCs w:val="24"/>
        </w:rPr>
        <w:t xml:space="preserve">among </w:t>
      </w:r>
      <w:r>
        <w:rPr>
          <w:rFonts w:ascii="Times New Roman"/>
          <w:sz w:val="24"/>
          <w:szCs w:val="24"/>
        </w:rPr>
        <w:t xml:space="preserve">living organisms. </w:t>
      </w:r>
    </w:p>
    <w:p w14:paraId="1C2D2C2D" w14:textId="77777777" w:rsidR="00EC113C" w:rsidRDefault="00EC113C">
      <w:pPr>
        <w:pStyle w:val="BodyA"/>
        <w:widowControl w:val="0"/>
        <w:spacing w:line="360" w:lineRule="auto"/>
        <w:rPr>
          <w:rFonts w:ascii="Times New Roman" w:eastAsia="Times New Roman" w:hAnsi="Times New Roman" w:cs="Times New Roman"/>
          <w:sz w:val="24"/>
          <w:szCs w:val="24"/>
        </w:rPr>
      </w:pPr>
    </w:p>
    <w:p w14:paraId="0C046CDA" w14:textId="1C0486B4" w:rsidR="00726F23" w:rsidRDefault="00FC185F">
      <w:pPr>
        <w:pStyle w:val="BodyA"/>
        <w:widowControl w:val="0"/>
        <w:spacing w:line="360" w:lineRule="auto"/>
        <w:rPr>
          <w:rFonts w:ascii="Times New Roman" w:eastAsia="Times New Roman" w:hAnsi="Times New Roman" w:cs="Times New Roman"/>
          <w:sz w:val="24"/>
          <w:szCs w:val="24"/>
        </w:rPr>
      </w:pPr>
      <w:r>
        <w:rPr>
          <w:rFonts w:ascii="Times New Roman"/>
          <w:sz w:val="24"/>
          <w:szCs w:val="24"/>
        </w:rPr>
        <w:t>This topic is particularly relevant to the site of the Taipei Biennial, located in Taiwan, an island in Asia. Since the transition from agricultural to industrial society, Asia has become the world</w:t>
      </w:r>
      <w:r>
        <w:rPr>
          <w:rFonts w:hAnsi="Times New Roman"/>
          <w:sz w:val="24"/>
          <w:szCs w:val="24"/>
        </w:rPr>
        <w:t>’</w:t>
      </w:r>
      <w:r>
        <w:rPr>
          <w:rFonts w:ascii="Times New Roman"/>
          <w:sz w:val="24"/>
          <w:szCs w:val="24"/>
        </w:rPr>
        <w:t xml:space="preserve">s factory and has broadly sacrificed care for the environment in order to sustain economic development. Like many developing </w:t>
      </w:r>
      <w:r w:rsidR="004B7792">
        <w:rPr>
          <w:rFonts w:ascii="Times New Roman"/>
          <w:sz w:val="24"/>
          <w:szCs w:val="24"/>
        </w:rPr>
        <w:t>coun</w:t>
      </w:r>
      <w:r>
        <w:rPr>
          <w:rFonts w:ascii="Times New Roman"/>
          <w:sz w:val="24"/>
          <w:szCs w:val="24"/>
        </w:rPr>
        <w:t>t</w:t>
      </w:r>
      <w:r w:rsidR="004B7792">
        <w:rPr>
          <w:rFonts w:ascii="Times New Roman"/>
          <w:sz w:val="24"/>
          <w:szCs w:val="24"/>
        </w:rPr>
        <w:t>r</w:t>
      </w:r>
      <w:r>
        <w:rPr>
          <w:rFonts w:ascii="Times New Roman"/>
          <w:sz w:val="24"/>
          <w:szCs w:val="24"/>
        </w:rPr>
        <w:t>ies in Asia, Taiwan faces severe environmental problems</w:t>
      </w:r>
      <w:r w:rsidR="004B7792">
        <w:rPr>
          <w:rFonts w:ascii="Times New Roman"/>
          <w:sz w:val="24"/>
          <w:szCs w:val="24"/>
        </w:rPr>
        <w:t>,</w:t>
      </w:r>
      <w:r>
        <w:rPr>
          <w:rFonts w:ascii="Times New Roman"/>
          <w:sz w:val="24"/>
          <w:szCs w:val="24"/>
        </w:rPr>
        <w:t xml:space="preserve"> due to industrialisation, urban development and global economic pressure.</w:t>
      </w:r>
    </w:p>
    <w:p w14:paraId="20D0AB02" w14:textId="77777777" w:rsidR="00726F23" w:rsidRDefault="00726F23">
      <w:pPr>
        <w:pStyle w:val="BodyA"/>
        <w:widowControl w:val="0"/>
        <w:spacing w:line="360" w:lineRule="auto"/>
        <w:rPr>
          <w:rFonts w:ascii="Times New Roman" w:eastAsia="Times New Roman" w:hAnsi="Times New Roman" w:cs="Times New Roman"/>
          <w:sz w:val="24"/>
          <w:szCs w:val="24"/>
        </w:rPr>
      </w:pPr>
    </w:p>
    <w:p w14:paraId="003D2DF8" w14:textId="6737CA0F" w:rsidR="00726F23" w:rsidRDefault="00FC185F">
      <w:pPr>
        <w:pStyle w:val="BodyA"/>
        <w:spacing w:line="360" w:lineRule="auto"/>
        <w:rPr>
          <w:rFonts w:ascii="Times New Roman" w:eastAsia="Times New Roman" w:hAnsi="Times New Roman" w:cs="Times New Roman"/>
          <w:sz w:val="24"/>
          <w:szCs w:val="24"/>
        </w:rPr>
      </w:pPr>
      <w:r>
        <w:rPr>
          <w:rFonts w:ascii="Times New Roman"/>
          <w:sz w:val="24"/>
          <w:szCs w:val="24"/>
        </w:rPr>
        <w:t xml:space="preserve">With this in mind, </w:t>
      </w:r>
      <w:r>
        <w:rPr>
          <w:rFonts w:ascii="Times New Roman"/>
          <w:i/>
          <w:iCs/>
          <w:sz w:val="24"/>
          <w:szCs w:val="24"/>
        </w:rPr>
        <w:t>Post-Nature</w:t>
      </w:r>
      <w:r w:rsidR="003A711A" w:rsidRPr="00427EB6">
        <w:rPr>
          <w:rFonts w:ascii="Times New Roman" w:hAnsi="Times New Roman" w:cs="Times New Roman"/>
          <w:iCs/>
        </w:rPr>
        <w:t>—</w:t>
      </w:r>
      <w:r>
        <w:rPr>
          <w:rFonts w:ascii="Times New Roman"/>
          <w:i/>
          <w:iCs/>
          <w:sz w:val="24"/>
          <w:szCs w:val="24"/>
        </w:rPr>
        <w:t>A Museum as an Ecosystem</w:t>
      </w:r>
      <w:r>
        <w:rPr>
          <w:rFonts w:ascii="Times New Roman"/>
          <w:sz w:val="24"/>
          <w:szCs w:val="24"/>
        </w:rPr>
        <w:t xml:space="preserve"> combines the notion of ecosystemic survival and the structure of interdependency in its very form. Here, the museum and the city </w:t>
      </w:r>
      <w:r w:rsidR="004B7792">
        <w:rPr>
          <w:rFonts w:ascii="Times New Roman"/>
          <w:sz w:val="24"/>
          <w:szCs w:val="24"/>
        </w:rPr>
        <w:t xml:space="preserve">that </w:t>
      </w:r>
      <w:r>
        <w:rPr>
          <w:rFonts w:ascii="Times New Roman"/>
          <w:sz w:val="24"/>
          <w:szCs w:val="24"/>
        </w:rPr>
        <w:t xml:space="preserve">surrounds </w:t>
      </w:r>
      <w:r w:rsidR="004B7792">
        <w:rPr>
          <w:rFonts w:ascii="Times New Roman"/>
          <w:sz w:val="24"/>
          <w:szCs w:val="24"/>
        </w:rPr>
        <w:t xml:space="preserve">it </w:t>
      </w:r>
      <w:r>
        <w:rPr>
          <w:rFonts w:ascii="Times New Roman"/>
          <w:sz w:val="24"/>
          <w:szCs w:val="24"/>
        </w:rPr>
        <w:t>are recognised as interlocking structures</w:t>
      </w:r>
      <w:r w:rsidR="007E748F">
        <w:rPr>
          <w:rFonts w:ascii="Times New Roman"/>
          <w:sz w:val="24"/>
          <w:szCs w:val="24"/>
        </w:rPr>
        <w:t>. The</w:t>
      </w:r>
      <w:r>
        <w:rPr>
          <w:rFonts w:ascii="Times New Roman"/>
          <w:sz w:val="24"/>
          <w:szCs w:val="24"/>
        </w:rPr>
        <w:t xml:space="preserve"> exhibition </w:t>
      </w:r>
      <w:r w:rsidR="007E748F">
        <w:rPr>
          <w:rFonts w:ascii="Times New Roman"/>
          <w:sz w:val="24"/>
          <w:szCs w:val="24"/>
        </w:rPr>
        <w:t>will explore, illustrate and investigate</w:t>
      </w:r>
      <w:r>
        <w:rPr>
          <w:rFonts w:ascii="Times New Roman"/>
          <w:sz w:val="24"/>
          <w:szCs w:val="24"/>
        </w:rPr>
        <w:t xml:space="preserve"> the different modes of connectivity and reciprocal dependency that keep a system alive. In this biennial, all artistic, theoretical, social and political elements will contribute to an overarching view of how an ecosystem is generated, and how it regenerates, through collaboration </w:t>
      </w:r>
      <w:r w:rsidR="007E748F">
        <w:rPr>
          <w:rFonts w:ascii="Times New Roman"/>
          <w:sz w:val="24"/>
          <w:szCs w:val="24"/>
        </w:rPr>
        <w:t xml:space="preserve">among </w:t>
      </w:r>
      <w:r>
        <w:rPr>
          <w:rFonts w:ascii="Times New Roman"/>
          <w:sz w:val="24"/>
          <w:szCs w:val="24"/>
        </w:rPr>
        <w:t xml:space="preserve">parts and adaptation to change. </w:t>
      </w:r>
    </w:p>
    <w:p w14:paraId="46192616" w14:textId="77777777" w:rsidR="00726F23" w:rsidRDefault="00726F23">
      <w:pPr>
        <w:pStyle w:val="BodyA"/>
        <w:spacing w:line="360" w:lineRule="auto"/>
        <w:rPr>
          <w:rFonts w:ascii="Times New Roman" w:eastAsia="Times New Roman" w:hAnsi="Times New Roman" w:cs="Times New Roman"/>
          <w:sz w:val="24"/>
          <w:szCs w:val="24"/>
        </w:rPr>
      </w:pPr>
    </w:p>
    <w:p w14:paraId="4DD6ED2A" w14:textId="3863C7CA" w:rsidR="00726F23" w:rsidRDefault="00FC185F">
      <w:pPr>
        <w:pStyle w:val="BodyA"/>
        <w:spacing w:line="360" w:lineRule="auto"/>
        <w:rPr>
          <w:rFonts w:ascii="Times New Roman" w:eastAsia="Times New Roman" w:hAnsi="Times New Roman" w:cs="Times New Roman"/>
          <w:sz w:val="24"/>
          <w:szCs w:val="24"/>
        </w:rPr>
      </w:pPr>
      <w:r>
        <w:rPr>
          <w:rFonts w:ascii="Times New Roman"/>
          <w:sz w:val="24"/>
          <w:szCs w:val="24"/>
        </w:rPr>
        <w:t>The idea of engaging with the museum as an ecosystem can be deconstructed into three key levels: at its most basic, the museum is a building which can optimise its use of energy and manage its relationship to immediate environmental issues; it is also a social actor, which can engage with and become integrated in its local community and culture; and on a global level, the museum can work to promote interdependency and collabo</w:t>
      </w:r>
      <w:r w:rsidR="007E748F">
        <w:rPr>
          <w:rFonts w:ascii="Times New Roman"/>
          <w:sz w:val="24"/>
          <w:szCs w:val="24"/>
        </w:rPr>
        <w:t>rative efforts between divergent</w:t>
      </w:r>
      <w:r>
        <w:rPr>
          <w:rFonts w:ascii="Times New Roman"/>
          <w:sz w:val="24"/>
          <w:szCs w:val="24"/>
        </w:rPr>
        <w:t xml:space="preserve"> fields and institutions alike. It is the assertion of the curators of </w:t>
      </w:r>
      <w:r>
        <w:rPr>
          <w:rFonts w:ascii="Times New Roman"/>
          <w:i/>
          <w:iCs/>
          <w:sz w:val="24"/>
          <w:szCs w:val="24"/>
        </w:rPr>
        <w:t>Post-Nature</w:t>
      </w:r>
      <w:r w:rsidR="003A711A" w:rsidRPr="00427EB6">
        <w:rPr>
          <w:rFonts w:ascii="Times New Roman" w:hAnsi="Times New Roman" w:cs="Times New Roman"/>
          <w:iCs/>
        </w:rPr>
        <w:t>—</w:t>
      </w:r>
      <w:r>
        <w:rPr>
          <w:rFonts w:ascii="Times New Roman"/>
          <w:i/>
          <w:iCs/>
          <w:sz w:val="24"/>
          <w:szCs w:val="24"/>
        </w:rPr>
        <w:t>A Museum as an Ecosystem</w:t>
      </w:r>
      <w:r>
        <w:rPr>
          <w:rFonts w:ascii="Times New Roman"/>
          <w:sz w:val="24"/>
          <w:szCs w:val="24"/>
        </w:rPr>
        <w:t xml:space="preserve"> that, in the </w:t>
      </w:r>
      <w:r>
        <w:rPr>
          <w:rFonts w:ascii="Times New Roman"/>
          <w:sz w:val="24"/>
          <w:szCs w:val="24"/>
        </w:rPr>
        <w:lastRenderedPageBreak/>
        <w:t xml:space="preserve">spirit of the avant-garde, museums are well placed to offer new </w:t>
      </w:r>
      <w:r w:rsidR="007D3105">
        <w:rPr>
          <w:rFonts w:ascii="Times New Roman"/>
          <w:sz w:val="24"/>
          <w:szCs w:val="24"/>
        </w:rPr>
        <w:t>models and holistic ways to rethink</w:t>
      </w:r>
      <w:r>
        <w:rPr>
          <w:rFonts w:ascii="Times New Roman"/>
          <w:sz w:val="24"/>
          <w:szCs w:val="24"/>
        </w:rPr>
        <w:t xml:space="preserve"> their systemic</w:t>
      </w:r>
      <w:r w:rsidR="007E748F">
        <w:rPr>
          <w:rFonts w:ascii="Times New Roman"/>
          <w:sz w:val="24"/>
          <w:szCs w:val="24"/>
        </w:rPr>
        <w:t xml:space="preserve"> alignment</w:t>
      </w:r>
      <w:r>
        <w:rPr>
          <w:rFonts w:ascii="Times New Roman"/>
          <w:sz w:val="24"/>
          <w:szCs w:val="24"/>
        </w:rPr>
        <w:t xml:space="preserve">. </w:t>
      </w:r>
    </w:p>
    <w:p w14:paraId="372DB007" w14:textId="77777777" w:rsidR="007E748F" w:rsidRDefault="007E748F">
      <w:pPr>
        <w:pStyle w:val="BodyA"/>
        <w:spacing w:line="360" w:lineRule="auto"/>
        <w:rPr>
          <w:rFonts w:ascii="Times New Roman"/>
          <w:sz w:val="24"/>
          <w:szCs w:val="24"/>
        </w:rPr>
      </w:pPr>
    </w:p>
    <w:p w14:paraId="66365703" w14:textId="52DD498C" w:rsidR="00726F23" w:rsidRDefault="00FC185F">
      <w:pPr>
        <w:pStyle w:val="BodyA"/>
        <w:spacing w:line="360" w:lineRule="auto"/>
        <w:rPr>
          <w:rFonts w:ascii="Times New Roman" w:eastAsia="Times New Roman" w:hAnsi="Times New Roman" w:cs="Times New Roman"/>
          <w:sz w:val="24"/>
          <w:szCs w:val="24"/>
        </w:rPr>
      </w:pPr>
      <w:r>
        <w:rPr>
          <w:rFonts w:ascii="Times New Roman"/>
          <w:sz w:val="24"/>
          <w:szCs w:val="24"/>
        </w:rPr>
        <w:t xml:space="preserve">To support </w:t>
      </w:r>
      <w:r w:rsidR="004B7792">
        <w:rPr>
          <w:rFonts w:ascii="Times New Roman"/>
          <w:sz w:val="24"/>
          <w:szCs w:val="24"/>
        </w:rPr>
        <w:t xml:space="preserve">this </w:t>
      </w:r>
      <w:r>
        <w:rPr>
          <w:rFonts w:ascii="Times New Roman"/>
          <w:sz w:val="24"/>
          <w:szCs w:val="24"/>
        </w:rPr>
        <w:t xml:space="preserve">ambition, </w:t>
      </w:r>
      <w:r>
        <w:rPr>
          <w:rFonts w:ascii="Times New Roman"/>
          <w:i/>
          <w:iCs/>
          <w:sz w:val="24"/>
          <w:szCs w:val="24"/>
        </w:rPr>
        <w:t>Post-Natur</w:t>
      </w:r>
      <w:r w:rsidR="007D3105">
        <w:rPr>
          <w:rFonts w:ascii="Times New Roman"/>
          <w:i/>
          <w:iCs/>
          <w:sz w:val="24"/>
          <w:szCs w:val="24"/>
        </w:rPr>
        <w:t>e</w:t>
      </w:r>
      <w:r w:rsidR="003A711A" w:rsidRPr="00427EB6">
        <w:rPr>
          <w:rFonts w:ascii="Times New Roman" w:hAnsi="Times New Roman" w:cs="Times New Roman"/>
          <w:iCs/>
        </w:rPr>
        <w:t>—</w:t>
      </w:r>
      <w:r>
        <w:rPr>
          <w:rFonts w:ascii="Times New Roman"/>
          <w:i/>
          <w:iCs/>
          <w:sz w:val="24"/>
          <w:szCs w:val="24"/>
        </w:rPr>
        <w:t>A Museum as an Ecosystem</w:t>
      </w:r>
      <w:r>
        <w:rPr>
          <w:rFonts w:ascii="Times New Roman"/>
          <w:sz w:val="24"/>
          <w:szCs w:val="24"/>
        </w:rPr>
        <w:t xml:space="preserve"> will commission new artworks</w:t>
      </w:r>
      <w:r w:rsidR="007E748F">
        <w:rPr>
          <w:rFonts w:ascii="Times New Roman"/>
          <w:sz w:val="24"/>
          <w:szCs w:val="24"/>
        </w:rPr>
        <w:t xml:space="preserve"> and present</w:t>
      </w:r>
      <w:r>
        <w:rPr>
          <w:rFonts w:ascii="Times New Roman"/>
          <w:sz w:val="24"/>
          <w:szCs w:val="24"/>
        </w:rPr>
        <w:t xml:space="preserve"> existing works</w:t>
      </w:r>
      <w:r w:rsidR="007E748F">
        <w:rPr>
          <w:rFonts w:ascii="Times New Roman"/>
          <w:sz w:val="24"/>
          <w:szCs w:val="24"/>
        </w:rPr>
        <w:t>,</w:t>
      </w:r>
      <w:r>
        <w:rPr>
          <w:rFonts w:ascii="Times New Roman"/>
          <w:sz w:val="24"/>
          <w:szCs w:val="24"/>
        </w:rPr>
        <w:t xml:space="preserve"> </w:t>
      </w:r>
      <w:r w:rsidR="007E748F">
        <w:rPr>
          <w:rFonts w:ascii="Times New Roman"/>
          <w:sz w:val="24"/>
          <w:szCs w:val="24"/>
        </w:rPr>
        <w:t xml:space="preserve">integrated </w:t>
      </w:r>
      <w:r>
        <w:rPr>
          <w:rFonts w:ascii="Times New Roman"/>
          <w:sz w:val="24"/>
          <w:szCs w:val="24"/>
        </w:rPr>
        <w:t xml:space="preserve">with media and </w:t>
      </w:r>
      <w:r w:rsidR="007E748F">
        <w:rPr>
          <w:rFonts w:ascii="Times New Roman"/>
          <w:sz w:val="24"/>
          <w:szCs w:val="24"/>
        </w:rPr>
        <w:t xml:space="preserve">approaches </w:t>
      </w:r>
      <w:r>
        <w:rPr>
          <w:rFonts w:ascii="Times New Roman"/>
          <w:sz w:val="24"/>
          <w:szCs w:val="24"/>
        </w:rPr>
        <w:t>from other disciplines</w:t>
      </w:r>
      <w:r w:rsidR="007E748F">
        <w:rPr>
          <w:rFonts w:ascii="Times New Roman"/>
          <w:sz w:val="24"/>
          <w:szCs w:val="24"/>
        </w:rPr>
        <w:t>,</w:t>
      </w:r>
      <w:r>
        <w:rPr>
          <w:rFonts w:ascii="Times New Roman"/>
          <w:sz w:val="24"/>
          <w:szCs w:val="24"/>
        </w:rPr>
        <w:t xml:space="preserve"> such as documentary film, the sciences, urban planning, architecture, pedagogy and activism. The biennial will also generate new knowledge through wor</w:t>
      </w:r>
      <w:r w:rsidR="007D3105">
        <w:rPr>
          <w:rFonts w:ascii="Times New Roman"/>
          <w:sz w:val="24"/>
          <w:szCs w:val="24"/>
        </w:rPr>
        <w:t>kshops, events and research forums</w:t>
      </w:r>
      <w:r>
        <w:rPr>
          <w:rFonts w:ascii="Times New Roman"/>
          <w:sz w:val="24"/>
          <w:szCs w:val="24"/>
        </w:rPr>
        <w:t xml:space="preserve">. Engaging in an institutional critique and forming innovative solutions to new and developing problems through its very structure, this biennial aims to investigate how the museum as </w:t>
      </w:r>
      <w:r w:rsidR="007D3105">
        <w:rPr>
          <w:rFonts w:ascii="Times New Roman"/>
          <w:sz w:val="24"/>
          <w:szCs w:val="24"/>
        </w:rPr>
        <w:t xml:space="preserve">an </w:t>
      </w:r>
      <w:r>
        <w:rPr>
          <w:rFonts w:ascii="Times New Roman"/>
          <w:sz w:val="24"/>
          <w:szCs w:val="24"/>
        </w:rPr>
        <w:t xml:space="preserve">institution exists as, and within, a social, cultural, economic and political ecosystem. </w:t>
      </w:r>
    </w:p>
    <w:p w14:paraId="4DB4EFB9" w14:textId="77777777" w:rsidR="00726F23" w:rsidRDefault="00FC185F">
      <w:pPr>
        <w:pStyle w:val="BodyA"/>
      </w:pPr>
      <w:r>
        <w:rPr>
          <w:rFonts w:ascii="Times New Roman"/>
          <w:sz w:val="24"/>
          <w:szCs w:val="24"/>
          <w:u w:color="FF0000"/>
        </w:rPr>
        <w:t xml:space="preserve"> </w:t>
      </w:r>
    </w:p>
    <w:sectPr w:rsidR="00726F23">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F16A9" w14:textId="77777777" w:rsidR="002C29EE" w:rsidRDefault="002C29EE">
      <w:r>
        <w:separator/>
      </w:r>
    </w:p>
  </w:endnote>
  <w:endnote w:type="continuationSeparator" w:id="0">
    <w:p w14:paraId="50113997" w14:textId="77777777" w:rsidR="002C29EE" w:rsidRDefault="002C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8"/>
    <w:family w:val="swiss"/>
    <w:pitch w:val="variable"/>
    <w:sig w:usb0="F7FFAFFF" w:usb1="E9DFFFFF" w:usb2="0000003F" w:usb3="00000000" w:csb0="003F01FF" w:csb1="00000000"/>
  </w:font>
  <w:font w:name="Times New Roman Bold">
    <w:panose1 w:val="02020803070505020304"/>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94048" w14:textId="77777777" w:rsidR="002C29EE" w:rsidRDefault="002C29EE">
      <w:r>
        <w:separator/>
      </w:r>
    </w:p>
  </w:footnote>
  <w:footnote w:type="continuationSeparator" w:id="0">
    <w:p w14:paraId="213F8CE0" w14:textId="77777777" w:rsidR="002C29EE" w:rsidRDefault="002C2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
  <w:rsids>
    <w:rsidRoot w:val="00726F23"/>
    <w:rsid w:val="000F7DF1"/>
    <w:rsid w:val="002C29EE"/>
    <w:rsid w:val="003A711A"/>
    <w:rsid w:val="003E495C"/>
    <w:rsid w:val="00407ED6"/>
    <w:rsid w:val="004B7792"/>
    <w:rsid w:val="0052181F"/>
    <w:rsid w:val="00726F23"/>
    <w:rsid w:val="007D3105"/>
    <w:rsid w:val="007E748F"/>
    <w:rsid w:val="00A13B9A"/>
    <w:rsid w:val="00CE5B2E"/>
    <w:rsid w:val="00EC113C"/>
    <w:rsid w:val="00FA7751"/>
    <w:rsid w:val="00FC185F"/>
    <w:rsid w:val="00FE71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A3F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eastAsia="Arial Unicode MS" w:hAnsi="Arial Unicode MS" w:cs="Arial Unicode MS"/>
      <w:color w:val="000000"/>
      <w:sz w:val="24"/>
      <w:szCs w:val="24"/>
    </w:rPr>
  </w:style>
  <w:style w:type="paragraph" w:customStyle="1" w:styleId="BodyA">
    <w:name w:val="Body A"/>
    <w:rPr>
      <w:rFonts w:ascii="Helvetica" w:eastAsia="Arial Unicode MS" w:hAnsi="Arial Unicode MS" w:cs="Arial Unicode MS"/>
      <w:color w:val="000000"/>
      <w:sz w:val="22"/>
      <w:szCs w:val="22"/>
      <w:u w:color="000000"/>
    </w:rPr>
  </w:style>
  <w:style w:type="paragraph" w:customStyle="1" w:styleId="Body">
    <w:name w:val="Body"/>
    <w:rPr>
      <w:rFonts w:eastAsia="Times New Roman"/>
      <w:color w:val="000000"/>
      <w:sz w:val="24"/>
      <w:szCs w:val="24"/>
      <w:u w:color="000000"/>
    </w:rPr>
  </w:style>
  <w:style w:type="paragraph" w:styleId="a4">
    <w:name w:val="header"/>
    <w:basedOn w:val="a"/>
    <w:link w:val="a5"/>
    <w:uiPriority w:val="99"/>
    <w:unhideWhenUsed/>
    <w:rsid w:val="000F7DF1"/>
    <w:pPr>
      <w:tabs>
        <w:tab w:val="center" w:pos="4153"/>
        <w:tab w:val="right" w:pos="8306"/>
      </w:tabs>
      <w:snapToGrid w:val="0"/>
    </w:pPr>
    <w:rPr>
      <w:sz w:val="20"/>
      <w:szCs w:val="20"/>
    </w:rPr>
  </w:style>
  <w:style w:type="character" w:customStyle="1" w:styleId="a5">
    <w:name w:val="頁首 字元"/>
    <w:basedOn w:val="a0"/>
    <w:link w:val="a4"/>
    <w:uiPriority w:val="99"/>
    <w:rsid w:val="000F7DF1"/>
    <w:rPr>
      <w:lang w:eastAsia="en-US"/>
    </w:rPr>
  </w:style>
  <w:style w:type="paragraph" w:styleId="a6">
    <w:name w:val="footer"/>
    <w:basedOn w:val="a"/>
    <w:link w:val="a7"/>
    <w:uiPriority w:val="99"/>
    <w:unhideWhenUsed/>
    <w:rsid w:val="000F7DF1"/>
    <w:pPr>
      <w:tabs>
        <w:tab w:val="center" w:pos="4153"/>
        <w:tab w:val="right" w:pos="8306"/>
      </w:tabs>
      <w:snapToGrid w:val="0"/>
    </w:pPr>
    <w:rPr>
      <w:sz w:val="20"/>
      <w:szCs w:val="20"/>
    </w:rPr>
  </w:style>
  <w:style w:type="character" w:customStyle="1" w:styleId="a7">
    <w:name w:val="頁尾 字元"/>
    <w:basedOn w:val="a0"/>
    <w:link w:val="a6"/>
    <w:uiPriority w:val="99"/>
    <w:rsid w:val="000F7DF1"/>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eastAsia="Arial Unicode MS" w:hAnsi="Arial Unicode MS" w:cs="Arial Unicode MS"/>
      <w:color w:val="000000"/>
      <w:sz w:val="24"/>
      <w:szCs w:val="24"/>
    </w:rPr>
  </w:style>
  <w:style w:type="paragraph" w:customStyle="1" w:styleId="BodyA">
    <w:name w:val="Body A"/>
    <w:rPr>
      <w:rFonts w:ascii="Helvetica" w:eastAsia="Arial Unicode MS" w:hAnsi="Arial Unicode MS" w:cs="Arial Unicode MS"/>
      <w:color w:val="000000"/>
      <w:sz w:val="22"/>
      <w:szCs w:val="22"/>
      <w:u w:color="000000"/>
    </w:rPr>
  </w:style>
  <w:style w:type="paragraph" w:customStyle="1" w:styleId="Body">
    <w:name w:val="Body"/>
    <w:rPr>
      <w:rFonts w:eastAsia="Times New Roman"/>
      <w:color w:val="000000"/>
      <w:sz w:val="24"/>
      <w:szCs w:val="24"/>
      <w:u w:color="000000"/>
    </w:rPr>
  </w:style>
  <w:style w:type="paragraph" w:styleId="a4">
    <w:name w:val="header"/>
    <w:basedOn w:val="a"/>
    <w:link w:val="a5"/>
    <w:uiPriority w:val="99"/>
    <w:unhideWhenUsed/>
    <w:rsid w:val="000F7DF1"/>
    <w:pPr>
      <w:tabs>
        <w:tab w:val="center" w:pos="4153"/>
        <w:tab w:val="right" w:pos="8306"/>
      </w:tabs>
      <w:snapToGrid w:val="0"/>
    </w:pPr>
    <w:rPr>
      <w:sz w:val="20"/>
      <w:szCs w:val="20"/>
    </w:rPr>
  </w:style>
  <w:style w:type="character" w:customStyle="1" w:styleId="a5">
    <w:name w:val="頁首 字元"/>
    <w:basedOn w:val="a0"/>
    <w:link w:val="a4"/>
    <w:uiPriority w:val="99"/>
    <w:rsid w:val="000F7DF1"/>
    <w:rPr>
      <w:lang w:eastAsia="en-US"/>
    </w:rPr>
  </w:style>
  <w:style w:type="paragraph" w:styleId="a6">
    <w:name w:val="footer"/>
    <w:basedOn w:val="a"/>
    <w:link w:val="a7"/>
    <w:uiPriority w:val="99"/>
    <w:unhideWhenUsed/>
    <w:rsid w:val="000F7DF1"/>
    <w:pPr>
      <w:tabs>
        <w:tab w:val="center" w:pos="4153"/>
        <w:tab w:val="right" w:pos="8306"/>
      </w:tabs>
      <w:snapToGrid w:val="0"/>
    </w:pPr>
    <w:rPr>
      <w:sz w:val="20"/>
      <w:szCs w:val="20"/>
    </w:rPr>
  </w:style>
  <w:style w:type="character" w:customStyle="1" w:styleId="a7">
    <w:name w:val="頁尾 字元"/>
    <w:basedOn w:val="a0"/>
    <w:link w:val="a6"/>
    <w:uiPriority w:val="99"/>
    <w:rsid w:val="000F7DF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新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何冠緯</dc:creator>
  <cp:lastModifiedBy>何冠緯</cp:lastModifiedBy>
  <cp:revision>6</cp:revision>
  <dcterms:created xsi:type="dcterms:W3CDTF">2018-04-03T06:17:00Z</dcterms:created>
  <dcterms:modified xsi:type="dcterms:W3CDTF">2018-04-09T08:49:00Z</dcterms:modified>
</cp:coreProperties>
</file>